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png" ContentType="image/png"/>
  <Override PartName="/word/media/image2.png" ContentType="image/png"/>
  <Override PartName="/word/media/image3.png" ContentType="image/png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officedocument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ackground w:color="FFFFFF"/>
  <w:body>
    <w:p>
      <w:pPr>
        <w:pStyle w:val="Normal"/>
        <w:spacing w:lineRule="atLeast" w:line="30"/>
        <w:jc w:val="end"/>
        <w:rPr>
          <w:rFonts w:ascii="Calibri" w:hAnsi="Calibri" w:eastAsia="Lucida Sans Unicode" w:cs="Calibri"/>
          <w:sz w:val="22"/>
          <w:szCs w:val="22"/>
        </w:rPr>
      </w:pPr>
      <w:r>
        <w:rPr>
          <w:rFonts w:eastAsia="Lucida Sans Unicode" w:cs="Calibri" w:ascii="Calibri" w:hAnsi="Calibri"/>
          <w:sz w:val="22"/>
          <w:szCs w:val="22"/>
        </w:rPr>
      </w:r>
    </w:p>
    <w:tbl>
      <w:tblPr>
        <w:tblW w:w="9211" w:type="dxa"/>
        <w:jc w:val="start"/>
        <w:tblInd w:w="66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1798"/>
        <w:gridCol w:w="7412"/>
      </w:tblGrid>
      <w:tr>
        <w:trPr/>
        <w:tc>
          <w:tcPr>
            <w:tcW w:w="9210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44"/>
                <w:szCs w:val="4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44"/>
                <w:szCs w:val="44"/>
              </w:rPr>
              <w:t>BUDYNEK – B</w:t>
            </w:r>
          </w:p>
        </w:tc>
      </w:tr>
      <w:tr>
        <w:trPr/>
        <w:tc>
          <w:tcPr>
            <w:tcW w:w="9210" w:type="dxa"/>
            <w:gridSpan w:val="2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30"/>
                <w:szCs w:val="30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30"/>
                <w:szCs w:val="30"/>
              </w:rPr>
              <w:t>CZĘŚĆ – I:  PROJEKT TECHNICZNY</w:t>
            </w:r>
          </w:p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30"/>
                <w:szCs w:val="30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30"/>
                <w:szCs w:val="30"/>
              </w:rPr>
              <w:t>BRANŻY ARCHITEKTONICZNO - BUDOWLANEJ</w:t>
            </w:r>
          </w:p>
        </w:tc>
      </w:tr>
      <w:tr>
        <w:trPr>
          <w:trHeight w:val="450" w:hRule="atLeast"/>
        </w:trPr>
        <w:tc>
          <w:tcPr>
            <w:tcW w:w="1798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NAZWA  INWESTYCJI</w:t>
            </w:r>
          </w:p>
        </w:tc>
        <w:tc>
          <w:tcPr>
            <w:tcW w:w="7412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Remont pomieszczeń dydaktycznych w budynku „B” i „C”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Zespołu Szkół Ponadpodstawowych Nr 2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Centrum Kształcenia Zawodowego im. T. Kościuszki w Łowiczu,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w ramach projektu pod nazwą: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</w:pPr>
            <w:r>
              <w:rPr>
                <w:rFonts w:cs="Arial" w:ascii="Arial" w:hAnsi="Arial"/>
                <w:sz w:val="24"/>
                <w:szCs w:val="24"/>
              </w:rPr>
              <w:t>„</w:t>
            </w:r>
            <w:r>
              <w:rPr>
                <w:rFonts w:cs="Arial" w:ascii="Arial" w:hAnsi="Arial"/>
                <w:sz w:val="24"/>
                <w:szCs w:val="24"/>
              </w:rPr>
              <w:t>Modernizacja pracowni warsztatowych do potrzeb zdobycia kwalifikacji branżowych na nowoczesnym rynku pracy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  <w:t>mechanizacji rolnictwa”</w:t>
            </w:r>
          </w:p>
        </w:tc>
      </w:tr>
      <w:tr>
        <w:trPr/>
        <w:tc>
          <w:tcPr>
            <w:tcW w:w="1798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ADRES INWESTYCJI</w:t>
            </w:r>
          </w:p>
        </w:tc>
        <w:tc>
          <w:tcPr>
            <w:tcW w:w="7412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FFFFFF" w:val="clear"/>
            <w:vAlign w:val="center"/>
          </w:tcPr>
          <w:p>
            <w:pPr>
              <w:pStyle w:val="Normal"/>
              <w:widowControl/>
              <w:suppressAutoHyphens w:val="true"/>
              <w:bidi w:val="0"/>
              <w:spacing w:lineRule="auto" w:line="276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sz w:val="24"/>
                <w:szCs w:val="24"/>
                <w:u w:val="no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sz w:val="24"/>
                <w:szCs w:val="24"/>
                <w:u w:val="none"/>
              </w:rPr>
              <w:t>ul. Blich 10, 99-400 Łowicz,</w:t>
            </w:r>
          </w:p>
          <w:p>
            <w:pPr>
              <w:pStyle w:val="Normal"/>
              <w:widowControl/>
              <w:suppressAutoHyphens w:val="true"/>
              <w:bidi w:val="0"/>
              <w:spacing w:lineRule="auto" w:line="276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sz w:val="24"/>
                <w:szCs w:val="24"/>
                <w:u w:val="no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sz w:val="24"/>
                <w:szCs w:val="24"/>
                <w:u w:val="none"/>
              </w:rPr>
              <w:t>dz. nr ewid. 1376/6, obręb: 0004 Korabka</w:t>
            </w:r>
          </w:p>
        </w:tc>
      </w:tr>
      <w:tr>
        <w:trPr/>
        <w:tc>
          <w:tcPr>
            <w:tcW w:w="1798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KATEGORIA BUDYNKU</w:t>
            </w:r>
          </w:p>
        </w:tc>
        <w:tc>
          <w:tcPr>
            <w:tcW w:w="7412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IX – budynki szkolne</w:t>
            </w:r>
          </w:p>
        </w:tc>
      </w:tr>
      <w:tr>
        <w:trPr/>
        <w:tc>
          <w:tcPr>
            <w:tcW w:w="1798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IDENTYFIKATOR</w:t>
            </w:r>
          </w:p>
        </w:tc>
        <w:tc>
          <w:tcPr>
            <w:tcW w:w="7412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100501_1.0004.1376/6</w:t>
            </w:r>
          </w:p>
        </w:tc>
      </w:tr>
      <w:tr>
        <w:trPr/>
        <w:tc>
          <w:tcPr>
            <w:tcW w:w="1798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ZAMAWIAJĄCY</w:t>
            </w:r>
          </w:p>
        </w:tc>
        <w:tc>
          <w:tcPr>
            <w:tcW w:w="7412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Powiat Łowicki,  ul. Stanisławskiego 30,  99-400 Łowicz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tbl>
      <w:tblPr>
        <w:tblW w:w="9246" w:type="dxa"/>
        <w:jc w:val="start"/>
        <w:tblInd w:w="55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1812"/>
        <w:gridCol w:w="5782"/>
        <w:gridCol w:w="1652"/>
      </w:tblGrid>
      <w:tr>
        <w:trPr/>
        <w:tc>
          <w:tcPr>
            <w:tcW w:w="9246" w:type="dxa"/>
            <w:gridSpan w:val="3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spacing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4"/>
                <w:szCs w:val="2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4"/>
                <w:szCs w:val="24"/>
              </w:rPr>
              <w:t>OPRACOWANIE</w:t>
            </w:r>
          </w:p>
        </w:tc>
      </w:tr>
      <w:tr>
        <w:trPr/>
        <w:tc>
          <w:tcPr>
            <w:tcW w:w="1812" w:type="dxa"/>
            <w:tcBorders>
              <w:start w:val="single" w:sz="2" w:space="0" w:color="000000"/>
              <w:bottom w:val="single" w:sz="2" w:space="0" w:color="000000"/>
            </w:tcBorders>
            <w:shd w:fill="666666" w:val="clea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BRANŻA</w:t>
            </w:r>
          </w:p>
        </w:tc>
        <w:tc>
          <w:tcPr>
            <w:tcW w:w="5782" w:type="dxa"/>
            <w:tcBorders>
              <w:start w:val="single" w:sz="2" w:space="0" w:color="000000"/>
              <w:bottom w:val="single" w:sz="2" w:space="0" w:color="000000"/>
            </w:tcBorders>
            <w:shd w:fill="666666" w:val="clea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PROJEKTANT</w:t>
            </w:r>
          </w:p>
        </w:tc>
        <w:tc>
          <w:tcPr>
            <w:tcW w:w="1652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spacing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PODPIS</w:t>
            </w:r>
          </w:p>
        </w:tc>
      </w:tr>
      <w:tr>
        <w:trPr/>
        <w:tc>
          <w:tcPr>
            <w:tcW w:w="1812" w:type="dxa"/>
            <w:vMerge w:val="restart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ARCHITEKTURA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  <w:tc>
          <w:tcPr>
            <w:tcW w:w="5782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  <w:u w:val="single"/>
              </w:rPr>
              <w:t>Projektant: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MGR INŻ. ARCH. HUBERT A. CIESIELSKI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upr. bud. w spec. architektonicznej nr 16/PDOKK/2014</w:t>
            </w:r>
          </w:p>
        </w:tc>
        <w:tc>
          <w:tcPr>
            <w:tcW w:w="1652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1812" w:type="dxa"/>
            <w:vMerge w:val="continue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napToGrid w:val="false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  <w:tc>
          <w:tcPr>
            <w:tcW w:w="5782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  <w:u w:val="single"/>
              </w:rPr>
              <w:t>Współpraca - opracowujący: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MGR INŻ. ARCH. ŁUKASZ WOJTYSIAK</w:t>
            </w:r>
          </w:p>
        </w:tc>
        <w:tc>
          <w:tcPr>
            <w:tcW w:w="1652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9246" w:type="dxa"/>
            <w:gridSpan w:val="3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4"/>
                <w:szCs w:val="2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4"/>
                <w:szCs w:val="24"/>
              </w:rPr>
              <w:t>DATA OPRACOWANIA: PAŹDZIERNIK – 2025r.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jc w:val="start"/>
        <w:rPr>
          <w:rFonts w:ascii="Arial" w:hAnsi="Arial" w:cs="Arial"/>
          <w:b/>
          <w:bCs/>
          <w:i/>
          <w:i/>
          <w:iCs/>
          <w:u w:val="single"/>
        </w:rPr>
      </w:pPr>
      <w:r>
        <w:rPr>
          <w:rFonts w:cs="Arial" w:ascii="Arial" w:hAnsi="Arial"/>
          <w:b/>
          <w:bCs/>
          <w:i/>
          <w:iCs/>
          <w:u w:val="single"/>
        </w:rPr>
        <w:t xml:space="preserve">EGZ. NR      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ListParagraph"/>
        <w:widowControl/>
        <w:numPr>
          <w:ilvl w:val="0"/>
          <w:numId w:val="0"/>
        </w:numPr>
        <w:bidi w:val="0"/>
        <w:spacing w:lineRule="auto" w:line="276" w:before="0" w:after="0"/>
        <w:ind w:hanging="0" w:start="360"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ZAWARTOŚĆ OPRACOWANIA:</w:t>
      </w:r>
    </w:p>
    <w:p>
      <w:pPr>
        <w:pStyle w:val="ListParagraph"/>
        <w:widowControl/>
        <w:numPr>
          <w:ilvl w:val="0"/>
          <w:numId w:val="0"/>
        </w:numPr>
        <w:bidi w:val="0"/>
        <w:spacing w:lineRule="auto" w:line="276" w:before="0" w:after="0"/>
        <w:ind w:hanging="0" w:start="360"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A:  ZAŁĄCZONE DOKUMENTY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Uprawnienia i przynależność projektantów do izby; ………………………………....str. 3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/>
          <w:bCs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Oświadczenie projektantów;</w:t>
      </w:r>
      <w:r>
        <w:rPr>
          <w:rFonts w:cs="Arial" w:ascii="Arial" w:hAnsi="Arial"/>
          <w:b/>
          <w:bCs/>
          <w:sz w:val="24"/>
          <w:szCs w:val="24"/>
          <w:u w:val="none"/>
        </w:rPr>
        <w:t xml:space="preserve"> </w:t>
      </w: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…………………………………………………………....str. 6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/>
          <w:bCs/>
          <w:sz w:val="24"/>
          <w:szCs w:val="24"/>
          <w:u w:val="none"/>
        </w:rPr>
      </w:pPr>
      <w:r>
        <w:rPr>
          <w:rFonts w:cs="Arial" w:ascii="Arial" w:hAnsi="Arial"/>
          <w:b/>
          <w:bCs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B:  OPIS TECHNICZNY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I. DANE OGÓLNE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 xml:space="preserve"> …………………………………………………………………….....str. 7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1. Przedmiot opracowania; ……………………………………………………………...str. 7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2. Podstawa opracowania; ……………………………………………………………...str. 7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 xml:space="preserve">3. Dane i parametry inwentaryzacyjne; ………………………………………….….....srt. 7                                               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4. Ogólne założenia projektowe i projektowany zakres prac; ……………………….str. 8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5. Ogólne zasady prowadzenia robót oraz zagospodarowanie materiału rozbiórkowego i z demontażu ………………………………………………………....str. 10</w:t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II. OPIS PROJEKTOWANYCH ROBÓT I DANE MATERIAŁOWE</w:t>
      </w:r>
      <w:r>
        <w:rPr>
          <w:rFonts w:eastAsia="HG Mincho Light J" w:cs="Arial" w:ascii="Arial" w:hAnsi="Arial"/>
          <w:b/>
          <w:bCs/>
          <w:sz w:val="24"/>
          <w:szCs w:val="24"/>
          <w:u w:val="none"/>
        </w:rPr>
        <w:t xml:space="preserve"> 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……………...str. 12</w:t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</w:rPr>
      </w:pPr>
      <w:r>
        <w:rPr>
          <w:rFonts w:cs="Arial" w:ascii="Arial" w:hAnsi="Arial"/>
        </w:rPr>
        <w:t>1. Prace rozbiórkowe i demontażowe…………………………………………………str. 12</w:t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</w:rPr>
      </w:pPr>
      <w:r>
        <w:rPr>
          <w:rFonts w:cs="Arial" w:ascii="Arial" w:hAnsi="Arial"/>
        </w:rPr>
        <w:t>2. Zasadnicze prace remontowe; ………...……………………………………….….str. 13</w:t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</w:rPr>
      </w:pPr>
      <w:r>
        <w:rPr>
          <w:rFonts w:cs="Arial" w:ascii="Arial" w:hAnsi="Arial"/>
        </w:rPr>
        <w:t>3. Wyposażenie; …………………………………………………………………….….str. 16</w:t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</w:rPr>
      </w:pPr>
      <w:r>
        <w:rPr>
          <w:rFonts w:cs="Arial" w:ascii="Arial" w:hAnsi="Arial"/>
        </w:rPr>
        <w:t>4. Prace w obrębie instalacji; ……………………………………………………..…...str. 19</w:t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</w:rPr>
        <w:t>5. Proponowana kolorysty</w:t>
      </w:r>
      <w:r>
        <w:rPr>
          <w:rFonts w:cs="Arial" w:ascii="Arial" w:hAnsi="Arial"/>
          <w:b w:val="false"/>
          <w:bCs w:val="false"/>
          <w:u w:val="none"/>
        </w:rPr>
        <w:t>ka i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 xml:space="preserve"> uwagi dotyczące stosowanych materiałów; ……...str. 19</w:t>
      </w:r>
    </w:p>
    <w:p>
      <w:pPr>
        <w:pStyle w:val="Header"/>
        <w:bidi w:val="0"/>
        <w:spacing w:lineRule="auto" w:line="276" w:before="0" w:after="0"/>
        <w:ind w:end="0"/>
        <w:jc w:val="start"/>
        <w:rPr/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III</w:t>
      </w:r>
      <w:r>
        <w:rPr>
          <w:rFonts w:cs="Arial" w:ascii="Arial" w:hAnsi="Arial"/>
          <w:b/>
          <w:bCs/>
          <w:sz w:val="24"/>
          <w:szCs w:val="24"/>
          <w:u w:val="single"/>
        </w:rPr>
        <w:t>. UWAGI KOŃCOWE</w:t>
      </w:r>
      <w:r>
        <w:rPr>
          <w:rFonts w:cs="Arial" w:ascii="Arial" w:hAnsi="Arial"/>
          <w:b/>
          <w:bCs/>
          <w:sz w:val="24"/>
          <w:szCs w:val="24"/>
          <w:u w:val="none"/>
        </w:rPr>
        <w:t xml:space="preserve"> </w:t>
      </w: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………………………….………………………………….....str. 22</w:t>
      </w:r>
    </w:p>
    <w:p>
      <w:pPr>
        <w:pStyle w:val="Header"/>
        <w:bidi w:val="0"/>
        <w:spacing w:lineRule="auto" w:line="276" w:before="0" w:after="0"/>
        <w:ind w:end="0"/>
        <w:jc w:val="start"/>
        <w:rPr/>
      </w:pPr>
      <w:r>
        <w:rPr/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C: CZĘŚĆ RYSUNKOWA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Spis rysunków: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1. S-1 – Plan sytuacyjny, skala 1:100,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2. I-1 – Inwentaryzacja - rzut, skala 1:100,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3. I-2 – Inwentaryzacja - przekrój, skala 1:100,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4. A-1 – Rzut podstawowy (AG-II), skala 1:100,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5. A-2 – Przekrój ogólny / detal 1, skala 1:100 / 1:20,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6. A-3 – Prace poniżej poziomu posadzki, detale: 2, 3, 4, skala 1:100 / 1:20,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7. A-4  – Wyposażenie sportowe i ochronne - rzut, skala 1:100,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8. A-5 – Widoki ścian Pd i Pn, skala 1:100,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9. A-6 – Widoki ścian Zach. i Wsch., skala 1:100,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10. A-7 – Propozycja rozmieszczenia paneli akustycznych - rzut, skala 1:200,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11. A-8 –  Propozycja rozmieszczenia paneli akustycznych - widoki, skala 1:100,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12. A-9 – Detal 5 – nadproże, skala 1:20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posOffset>-91440</wp:posOffset>
            </wp:positionH>
            <wp:positionV relativeFrom="paragraph">
              <wp:posOffset>73660</wp:posOffset>
            </wp:positionV>
            <wp:extent cx="5901690" cy="8111490"/>
            <wp:effectExtent l="0" t="0" r="0" b="0"/>
            <wp:wrapSquare wrapText="largest"/>
            <wp:docPr id="1" name="Obraz1" descr="" title="Kopia uprawnień budowlanych projektanta Huberta A. Ciesielskiego - str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1" descr="" title="Kopia uprawnień budowlanych projektanta Huberta A. Ciesielskiego - str.1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-405" t="-286" r="-405" b="-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1690" cy="8111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rial" w:ascii="Arial" w:hAnsi="Arial"/>
          <w:sz w:val="24"/>
          <w:szCs w:val="24"/>
        </w:rPr>
        <w:t>Obraz-1. Kopia uprawnień budowlanych projektanta.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posOffset>-163830</wp:posOffset>
            </wp:positionH>
            <wp:positionV relativeFrom="paragraph">
              <wp:posOffset>158750</wp:posOffset>
            </wp:positionV>
            <wp:extent cx="5981700" cy="8228965"/>
            <wp:effectExtent l="0" t="0" r="0" b="0"/>
            <wp:wrapSquare wrapText="largest"/>
            <wp:docPr id="2" name="Obraz2" descr="" title="Kopia uprawnień budowlanych projektanta Huberta A. Ciesielskiego - str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2" descr="" title="Kopia uprawnień budowlanych projektanta Huberta A. Ciesielskiego - str.2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rcRect l="-405" t="-286" r="-405" b="-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8228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rial" w:ascii="Arial" w:hAnsi="Arial"/>
        </w:rPr>
        <w:t>Obraz-2. Kopia uprawnień budowlanych projektanta.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drawing>
          <wp:anchor behindDoc="0" distT="0" distB="0" distL="0" distR="0" simplePos="0" locked="0" layoutInCell="0" allowOverlap="1" relativeHeight="4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817235" cy="8240395"/>
            <wp:effectExtent l="0" t="0" r="0" b="0"/>
            <wp:wrapSquare wrapText="largest"/>
            <wp:docPr id="3" name="Obraz3" descr="" title="Kopia zaświadczenia z izby projektanta Huberta A. Ciesielskie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3" descr="" title="Kopia zaświadczenia z izby projektanta Huberta A. Ciesielskiego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-200" t="-141" r="-200" b="-1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7235" cy="8240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</w:rPr>
        <w:t>Obraz-3. Kopia zaświadczenia z izby zawodowej projektanta.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  <w:t>OŚWIADCZENIE PROJEKTANTA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  <w:tab/>
      </w:r>
      <w:r>
        <w:rPr>
          <w:rFonts w:cs="Arial" w:ascii="Arial" w:hAnsi="Arial"/>
          <w:sz w:val="24"/>
          <w:szCs w:val="24"/>
        </w:rPr>
        <w:t>Na podstawie art. 34 ust. 3d pkt 3 oraz art. 34 ust. 3e Ustawy z dnia 7 lipca 1994 r. Prawo budowlane (Dz. U. z 2020 r. poz. 1333, 2127, 2320, z 2021 r. poz. 11, 234, 282, 784) oświadczam,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 xml:space="preserve">że niniejszy </w:t>
      </w:r>
      <w:r>
        <w:rPr>
          <w:rFonts w:cs="Arial" w:ascii="Arial" w:hAnsi="Arial"/>
          <w:b/>
          <w:bCs/>
          <w:sz w:val="24"/>
          <w:szCs w:val="24"/>
        </w:rPr>
        <w:t>projekt techniczny branży architektoniczno - budowlanej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wykonany na rzecz zamierzenia budowlanego: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Remont pomieszczeń dydaktycznych w budynku „B”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Zespołu Szkół Ponadpodstawowych Nr 2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Centrum Kształcenia Zawodowego im. T. Kościuszki w Łowiczu,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i/>
          <w:i/>
          <w:iCs/>
          <w:sz w:val="24"/>
          <w:szCs w:val="24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 xml:space="preserve">w ramach projektu pod nazwą: 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i/>
          <w:iCs/>
          <w:sz w:val="24"/>
          <w:szCs w:val="24"/>
        </w:rPr>
        <w:t>„</w:t>
      </w:r>
      <w:r>
        <w:rPr>
          <w:rFonts w:cs="Arial" w:ascii="Arial" w:hAnsi="Arial"/>
          <w:i/>
          <w:iCs/>
          <w:sz w:val="24"/>
          <w:szCs w:val="24"/>
        </w:rPr>
        <w:t>Modernizacja pracowni warsztatowych do potrzeb zdobycia kwalifikacji branżowych na nowoczesnym rynku pracy mechanizacji rolnictwa”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sz w:val="24"/>
          <w:szCs w:val="24"/>
        </w:rPr>
        <w:t>Lokalizacja: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ul. Blich 10,  99-400 Łowicz,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dz. nr ewid. 1376/6, obręb: 0004 Korabka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tabs>
          <w:tab w:val="clear" w:pos="708"/>
          <w:tab w:val="left" w:pos="3114" w:leader="none"/>
        </w:tabs>
        <w:spacing w:lineRule="auto" w:line="240" w:before="0" w:after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- został sporządzony zgodnie z obowiązującymi przepisami i zasadami wiedzy technicznej.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Osoby, o których mowa w art. 20 ust. 1 pkt 1a ustawy Prawo budowlane, biorące udział w opracowaniu projektu: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tbl>
      <w:tblPr>
        <w:tblW w:w="9056" w:type="dxa"/>
        <w:jc w:val="start"/>
        <w:tblInd w:w="55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6401"/>
        <w:gridCol w:w="2654"/>
      </w:tblGrid>
      <w:tr>
        <w:trPr/>
        <w:tc>
          <w:tcPr>
            <w:tcW w:w="6401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Opracowanie:</w:t>
            </w:r>
          </w:p>
        </w:tc>
        <w:tc>
          <w:tcPr>
            <w:tcW w:w="2654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Podpis:</w:t>
            </w:r>
          </w:p>
        </w:tc>
      </w:tr>
      <w:tr>
        <w:trPr/>
        <w:tc>
          <w:tcPr>
            <w:tcW w:w="640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  <w:u w:val="single"/>
              </w:rPr>
              <w:t>Projektant: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MGR INŻ. ARCH. HUBERT A. CIESIELSKI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upr. bud. w spec. architektonicznej nr 16/PDOKK/2014</w:t>
            </w:r>
          </w:p>
        </w:tc>
        <w:tc>
          <w:tcPr>
            <w:tcW w:w="2654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640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  <w:u w:val="single"/>
              </w:rPr>
              <w:t>Współpraca - opracowujący: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MGR INŻ. ARCH. ŁUKASZ WOJTYSIAK</w:t>
            </w:r>
          </w:p>
        </w:tc>
        <w:tc>
          <w:tcPr>
            <w:tcW w:w="2654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9055" w:type="dxa"/>
            <w:gridSpan w:val="2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sz w:val="22"/>
                <w:szCs w:val="22"/>
                <w:u w:val="none"/>
              </w:rPr>
            </w:pPr>
            <w:r>
              <w:rPr>
                <w:rFonts w:cs="Arial" w:ascii="Arial" w:hAnsi="Arial"/>
                <w:sz w:val="22"/>
                <w:szCs w:val="22"/>
                <w:u w:val="none"/>
              </w:rPr>
              <w:t>PAŹDZIERNIK 2025</w:t>
            </w:r>
          </w:p>
        </w:tc>
      </w:tr>
    </w:tbl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color w:val="FF0000"/>
          <w:sz w:val="28"/>
          <w:szCs w:val="28"/>
        </w:rPr>
      </w:pPr>
      <w:r>
        <w:rPr>
          <w:rFonts w:cs="Arial" w:ascii="Arial" w:hAnsi="Arial"/>
          <w:color w:val="FF0000"/>
          <w:sz w:val="28"/>
          <w:szCs w:val="28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color w:val="FF0000"/>
          <w:sz w:val="28"/>
          <w:szCs w:val="28"/>
        </w:rPr>
      </w:pPr>
      <w:r>
        <w:rPr>
          <w:rFonts w:cs="Arial" w:ascii="Arial" w:hAnsi="Arial"/>
          <w:color w:val="FF0000"/>
          <w:sz w:val="28"/>
          <w:szCs w:val="28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eastAsia="HG Mincho Light J" w:cs="Arial"/>
          <w:b w:val="false"/>
          <w:bCs w:val="false"/>
          <w:u w:val="none"/>
        </w:rPr>
      </w:pPr>
      <w:r>
        <w:rPr>
          <w:sz w:val="28"/>
          <w:szCs w:val="28"/>
        </w:rPr>
        <w:t>I. DANE OGÓLNE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/>
        <w:t>1. PRZEDMIOT OPRACOWANIA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 xml:space="preserve">Przedmiotem niniejszego opracowania jest projekt techniczny branży architektoniczno - budowlanej, wewnętrznego remontu sali gimnastycznej, znajdującej się w budynku „B” Zespołu Szkół Ponadpodstawowych Nr 2, </w:t>
      </w:r>
      <w:r>
        <w:rPr>
          <w:rFonts w:eastAsia="HG Mincho Light J"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Centrum Kształcenia Zawodowego im. Tadeusza Kościuszki w Łowiczu. Adres inwestycji: ul. Blich 10, 99-400 Łowicz, dz. nr ewid. 1376/6, obręb: 0004 – Korabka, Łowicz.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i w:val="false"/>
          <w:i w:val="false"/>
          <w:iCs w:val="false"/>
          <w:position w:val="0"/>
          <w:sz w:val="24"/>
          <w:sz w:val="24"/>
          <w:szCs w:val="24"/>
          <w:u w:val="none"/>
          <w:vertAlign w:val="baseline"/>
        </w:rPr>
      </w:pPr>
      <w:r>
        <w:rPr>
          <w:rFonts w:eastAsia="HG Mincho Light J"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ab/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 xml:space="preserve">Opracowanie stanowi część całego zadania: Remont pomieszczeń dydaktycznych w budynku „C” i „B” Zespołu Szkół Ponadpodstawowych Nr 2, Centrum Kształcenia Zawodowego im. Tadeusz Kościuszki w Łowiczu </w:t>
      </w:r>
      <w:r>
        <w:rPr>
          <w:rFonts w:eastAsia="HG Mincho Light J" w:cs="Arial" w:ascii="Arial" w:hAnsi="Arial"/>
          <w:b w:val="false"/>
          <w:bCs w:val="false"/>
          <w:i w:val="false"/>
          <w:iCs w:val="false"/>
          <w:position w:val="0"/>
          <w:sz w:val="24"/>
          <w:sz w:val="24"/>
          <w:szCs w:val="24"/>
          <w:u w:val="none"/>
          <w:vertAlign w:val="baseline"/>
        </w:rPr>
        <w:t xml:space="preserve">w ramach projektu pod nazwą: </w:t>
      </w:r>
      <w:r>
        <w:rPr>
          <w:rFonts w:cs="Arial" w:ascii="Arial" w:hAnsi="Arial"/>
          <w:sz w:val="24"/>
          <w:szCs w:val="24"/>
        </w:rPr>
        <w:t xml:space="preserve">„Modernizacja pracowni warsztatowych do potrzeb zdobycia kwalifikacji branżowych na nowoczesnym rynku pracy </w:t>
      </w:r>
      <w:r>
        <w:rPr>
          <w:rFonts w:eastAsia="HG Mincho Light J" w:cs="Arial" w:ascii="Arial" w:hAnsi="Arial"/>
          <w:b w:val="false"/>
          <w:bCs w:val="false"/>
          <w:i w:val="false"/>
          <w:iCs w:val="false"/>
          <w:position w:val="0"/>
          <w:sz w:val="24"/>
          <w:sz w:val="24"/>
          <w:szCs w:val="24"/>
          <w:u w:val="none"/>
          <w:vertAlign w:val="baseline"/>
        </w:rPr>
        <w:t>mechanizacji rolnictwa”.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sz w:val="24"/>
          <w:szCs w:val="24"/>
        </w:rPr>
      </w:pPr>
      <w:r>
        <w:rPr>
          <w:rFonts w:eastAsia="HG Mincho Light J" w:cs="Arial" w:ascii="Arial" w:hAnsi="Arial"/>
          <w:b w:val="false"/>
          <w:bCs w:val="false"/>
          <w:i w:val="false"/>
          <w:iCs w:val="false"/>
          <w:position w:val="0"/>
          <w:sz w:val="24"/>
          <w:sz w:val="24"/>
          <w:szCs w:val="24"/>
          <w:u w:val="none"/>
          <w:vertAlign w:val="baseline"/>
        </w:rPr>
        <w:tab/>
        <w:t>Dokumentacja dotycząca budynku „C” – stanowi odrębne opracowanie.</w:t>
      </w:r>
    </w:p>
    <w:p>
      <w:pPr>
        <w:pStyle w:val="Zawartotabeli"/>
        <w:widowControl w:val="false"/>
        <w:suppressLineNumbers/>
        <w:suppressAutoHyphens w:val="false"/>
        <w:bidi w:val="0"/>
        <w:spacing w:lineRule="auto" w:line="240" w:before="0" w:after="0"/>
        <w:ind w:end="57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/>
        <w:t>2. PODSTAWA OPRACOWANIA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Zlecenie inwestora,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Umowa z inwestorem,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Ustalenia wynikające z formy inwestycji,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Wizja lokalna w miejscu inwestycji,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Pomiary inwentaryzacyjne przeprowadzone w obrębie przedmiotowych pomieszczeń,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Mapa zasadnicza,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Wytyczne i rozwiązania projektowe pozostałych branż,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Podstawy formalno – prawne.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/>
        <w:t>3. DANE I PARAMETRY INWENTARYZACYJNE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Przedmiotowy budynek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Sala gimnastyczna podlegające pracom remontowym znajduje się w budynku „B” Zespołu Szkół Ponadpodstawowych Nr 2, zlokalizowanym przy ul. Blich 10, na dz. nr 1376/6. Przedmiotowy obiekt usytuowany jest w frontowej części terenu obejmującego kompleks zabudowań szkolnych – od strony wejścia głównego na posesję.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Budynek wzniesiony jest na fundamentach betonowych, jako murowany (ściany docieplone styropianem), przekryty stropodachem z płyt korytkowych. W części stanowiącej salę gimnastyczną stropodach opiera się na stalowej konstrukcji kratowej. Dach z zewnątrz docieplony jest styropianem i pokryty papą. W części mieszczącej przedmiotową salę gimnastyczną - pod posadzką (przy ścianie zewnętrznej południowej i wschodniej) przebiega kanał instalacyjny.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Budynek zasilany jest w energię elektryczną i wodę poprzez podłączenia do ogólnej infrastruktury terenu. Energia cieplna do zasilania c.o. i c.w.u. wytwarzana jest w kotłowni usytuowanej w budynku „C”. Rozprowadzenie obwodów grzewczych zasilających salę, odbywa się z węzła cieplnego zlokalizowanego w budynku B. Obiekt posiada pełne wyposażenie w instalacje wewnętrzne: instalację elektryczną, internetową, instalacje sanitarne (wodną, kanalizacyjną, cwu, i co – grzejnikową). Pomieszczenia w budynku wyposażone są w kanały wentylacji grawitacyjnej, a część z nich w tym przedmiotowa sala gimnastyczna posiada wyciągi mechaniczne zaopatrzone w wentylatory ścienne.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Ogólny opis  sali gimnastycznej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Usytuowanie – na poziomie parteru w budynku „B”.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Połączenie komunikacyjne i droga ewakuacyjna – bezpośrednio na główny korytarz.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Istniejący układ funkcjonalny –  jedno pomieszczenie na planie prostokątnym.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Istniejące wykończenie: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ściany -  farba emulsyjna na tynku,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posadzka - parkiet drewniany na warstwie legarowej i wylewce betonowej z izolacją z papy; układ warstw istniejącej posadzki: 1) parkiet na kleju, 2) podłoga z desek 3,2cm, 3) legary drewniane 7,5x7,5cm w rozstawie 100cm w dwóch warstwach na krzyż, 4) papa, 5) wylewka betonowa – ok.7cm, 6) warstwy podbudowy / gruntu.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sufit -  farba emulsyjna na tynku typu „baranek”,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Istniejąca stolarka / ślusarka: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drzwi dwuskrzydłowe, okna / przeszklenia - PCV,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Wyposażenie w instalacje wewnętrzne: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co – grzejnik żebrowe pod oknami i w przestrzeniach międzyokiennych,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elektryczna (gniazda 230V, oświetlenie górne podwieszone do stalowej listwy pod sufitem,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wentylacja grawitacyjna (wywietrzaki dachowe) oraz wentylacja poprzez elektryczne wentylatory ścienne.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 pomieszczenia – 396,5m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  <w:r>
        <w:rPr>
          <w:rFonts w:eastAsia="HG Mincho Light J" w:cs="Arial" w:ascii="Arial" w:hAnsi="Arial"/>
          <w:b w:val="false"/>
          <w:bCs w:val="false"/>
          <w:position w:val="0"/>
          <w:sz w:val="24"/>
          <w:sz w:val="24"/>
          <w:szCs w:val="24"/>
          <w:u w:val="none"/>
          <w:vertAlign w:val="baseline"/>
        </w:rPr>
        <w:t>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pomieszczenia – 8,12 – 7,40m (w pomiarze od płyt korytkowych stropu do podłogi),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 xml:space="preserve">- Kanał techniczny przebiegający pod posadzką sali wzdłuż ściany południowej i wschodniej. Wymiary kanału technicznego: głębokość  / szerokość - około 120cm  / 80cm. Przekrycie kanału stanowią płyty betonowe 90x70cm o gr. 7cm oraz warstwy posadzkowe znajdujące się ponad kanałem. Ściany boczne kanału wykonane jako murowane. 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UWAGA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: dane ad kanału – na podstawie oględzin dokonanych w pomieszczeniu przed salą; w razie stwierdzenia innych parametrów należy skorygować dane.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Usytuowanie poziomu posadzki w stosunku do komunikacji w budynku – na równi z poziomem posadzki korytarza.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eastAsia="HG Mincho Light J" w:cs="Arial"/>
          <w:b/>
          <w:bCs/>
          <w:sz w:val="24"/>
          <w:szCs w:val="24"/>
          <w:u w:val="none"/>
        </w:rPr>
      </w:pPr>
      <w:r>
        <w:rPr/>
        <w:t>4. OGÓLNE ZAŁOŻENIA PROJEKTOWE I PROJEKTOWANY ZAKRES PRAC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non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Założenia projektowe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Planowany remont ma na celu modernizację sali gimnastycznej w obrębie jej wnętrza, w tym instalacji elektrycznej oraz c.o.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Wykonane zostaną nowe warstwy wykończeniowe przegród (sufitów, ścian) oraz nowa podłoga wraz z podbudową. Przewidziano montaż nowych drzwi wejściowych do pomieszczenia. Dokonana zostanie wymiana instalacji elektrycznej wewnętrznej wraz z kablem zasilającym z doposażeniem w instalację nagłośnienia.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Ponadto wykonane zostaną: zabezpieczenia akustyczne ścian w poziomie użytkowym sali, oraz montaż wyposażenia sportowego i ochronnego.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Planowana inwestycja nie będzie ingerować w konstrukcję ścian, stropów budynku i jego układ funkcjonalny.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Dane powierzchniowe i projektowana wysokość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 pomieszczenia (bez zmian) – 396,5m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  <w:r>
        <w:rPr>
          <w:rFonts w:eastAsia="HG Mincho Light J" w:cs="Arial" w:ascii="Arial" w:hAnsi="Arial"/>
          <w:b w:val="false"/>
          <w:bCs w:val="false"/>
          <w:position w:val="0"/>
          <w:sz w:val="24"/>
          <w:sz w:val="24"/>
          <w:szCs w:val="24"/>
          <w:u w:val="none"/>
          <w:vertAlign w:val="baseline"/>
        </w:rPr>
        <w:t>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pomieszczenia (bez zmian) – 8,12 – 7,40m (w pomiarze od płyt korytkowych stropu do podłogi),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Projektowany zakres prac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Uwaga: wymienione prace dotyczące instalacji elektrycznych i c.o., ujęte zostały w projektach branżowych poszczególnych instalacji.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color w:val="000000"/>
          <w:sz w:val="24"/>
          <w:szCs w:val="24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Zakres prac: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wykucie z muru ościeżnic z drzwiami,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grzejników i instalacji c.o. w obrębie sali,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instalacji elektrycznej,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likwidacja kanału instalacyjnego,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warstw posadzkowych do poziomu gruntu,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zeskrobanie / zmycie starej farby z powierzchni przegród,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oczyszczenie konstrukcji stalowych,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instalacji elektrycznej oświetleniowej i gniazd wtykowych,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instalacji nagłośnienia,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naprawa i uzupełnienie tynków,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color w:val="000000"/>
          <w:sz w:val="24"/>
          <w:szCs w:val="24"/>
        </w:rPr>
        <w:t>- gruntowanie, gładzenie i malowanie ścian,</w:t>
      </w:r>
    </w:p>
    <w:p>
      <w:pPr>
        <w:pStyle w:val="Normal"/>
        <w:spacing w:lineRule="auto" w:line="276" w:before="0" w:after="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wykonanie posadzki z dostosowaniem do funkcji i sposobów wykorzystywania sali, wraz z warstwami podbudowy i elementami do montażu wyposażenia,</w:t>
      </w:r>
    </w:p>
    <w:p>
      <w:pPr>
        <w:pStyle w:val="Normal"/>
        <w:spacing w:lineRule="auto" w:line="276" w:before="0" w:after="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wykonanie na odnowionych powierzchniach ściennych zabezpieczeń akustycznych eliminujących pogłos,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usprawnienie wentylacji pomieszczenia (montaż nawiewników okiennych / udrożnienie kanałów wentylacyjnych),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color w:val="000000"/>
          <w:sz w:val="24"/>
          <w:szCs w:val="24"/>
        </w:rPr>
        <w:t>- montaż drzwi o podwyższonej izolacyjności akustycznej z ościeżnicą,</w:t>
      </w:r>
    </w:p>
    <w:p>
      <w:pPr>
        <w:pStyle w:val="Normal"/>
        <w:spacing w:lineRule="auto" w:line="276" w:before="0" w:after="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wykonanie zabezpieczeń przed uderzeniem piłką: zabezpieczenie okien w formie siatki i osłon grzejnikowych,</w:t>
      </w:r>
    </w:p>
    <w:p>
      <w:pPr>
        <w:pStyle w:val="Normal"/>
        <w:spacing w:lineRule="auto" w:line="276" w:before="0" w:after="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montaż kotary do podziału sali na dwa niezależne pola,</w:t>
      </w:r>
    </w:p>
    <w:p>
      <w:pPr>
        <w:pStyle w:val="Normal"/>
        <w:spacing w:lineRule="auto" w:line="276" w:before="0" w:after="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wykonanie instalacji do podłączenia systemu nagłośnienia,</w:t>
      </w:r>
    </w:p>
    <w:p>
      <w:pPr>
        <w:pStyle w:val="Normal"/>
        <w:spacing w:lineRule="auto" w:line="276" w:before="0" w:after="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 xml:space="preserve">- montaż wyposażenia podstawowego: tablice do gry w koszykówkę, zestawy do sytuowania elementów w podłogach tj. tuleje systemowe do montażu bramek i słupków siatkarskich, montaż bramek, montaż słupków siatkarskich z osprzętem, </w:t>
      </w:r>
    </w:p>
    <w:p>
      <w:pPr>
        <w:pStyle w:val="Normal"/>
        <w:spacing w:lineRule="auto" w:line="276" w:before="0" w:after="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montaż drabinek gimnastycznych,</w:t>
      </w:r>
    </w:p>
    <w:p>
      <w:pPr>
        <w:pStyle w:val="Normal"/>
        <w:spacing w:lineRule="auto" w:line="276" w:before="0" w:after="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montaż i instalacja tablic wyników,</w:t>
      </w:r>
    </w:p>
    <w:p>
      <w:pPr>
        <w:pStyle w:val="Normal"/>
        <w:spacing w:lineRule="auto" w:line="276" w:before="0" w:after="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montaż pozostałego wyposażenia,</w:t>
      </w:r>
    </w:p>
    <w:p>
      <w:pPr>
        <w:pStyle w:val="Normal"/>
        <w:spacing w:lineRule="auto" w:line="276" w:before="0" w:after="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zastosowanie dedykowanego dla sal gimnastycznych oświetlenia,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przed wejściem tabliczki  informacyjnej z nazwą pomieszczenia z dodatkowym tekstem w alfabecie Braille'a,</w:t>
      </w:r>
    </w:p>
    <w:p>
      <w:pPr>
        <w:pStyle w:val="Normal"/>
        <w:suppressAutoHyphens w:val="false"/>
        <w:spacing w:lineRule="auto" w:line="240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color w:val="000000"/>
          <w:sz w:val="24"/>
          <w:szCs w:val="24"/>
        </w:rPr>
        <w:t>- wywóz i utylizacja gruzu oraz pozostałych materiałów z rozbiórek / demontaży,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color w:val="000000"/>
          <w:sz w:val="24"/>
          <w:szCs w:val="24"/>
          <w:u w:val="single"/>
          <w:shd w:fill="auto" w:val="clear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prace porządkowe,</w:t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/>
        <w:t>5. OGÓLNE ZASADY PROWADZENIA ROBÓT BUDOWLANYCH, MONTAŻOWYCH, DEMONTAŻOWYCH I ROZBIÓRKOWYCH ORAZ ZAGOSPODAROWANIE MATERIAŁU ROZBIÓRKOWEGO I Z DEMONTAŻU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  <w:u w:val="single"/>
        </w:rPr>
        <w:t>Prace przygotowawcze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  <w:u w:val="single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ab/>
        <w:t>Przed przystąpieniem do zasadniczych prac  należy przeprowadzić następujące czynności przygotowawcze: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przygotowanie pomieszczenia sali gimnastycznej i odgrodzenie od pomieszczeń pozostających w użytkowaniu,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wyznaczenie komunikacji i dostępu bez kolizji z ogólną komunikacją w budynku,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wyznaczenie miejsca gromadzenia materiałów budowlanych oraz wyznaczenie miejsca gromadzenia i segregacji materiału z rozbiórek i demontażu,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odseparowanie sali gimnastycznej  w sposób zabezpieczający przed dostępem osób niepowołanych i uniemożliwiający rozprzestrzenianie materiałów budowlanych, porozbiórkowych oraz narzędzi poza wyznaczony teren,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oznaczenie tablicami ostrzegawczymi części budynku podlegającej remontowi,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sprawdzenie pomieszczenia w celu wyeliminowania istnienia niezlokalizowanych wcześniej instalacji i urządzeń, mogących ulec zniszczeniu lub stanowić zagrożenie w trakcie prowadzenia prac.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ab/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  <w:u w:val="single"/>
        </w:rPr>
        <w:t xml:space="preserve">Sposób prowadzenia robót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i w:val="false"/>
          <w:iCs w:val="false"/>
          <w:sz w:val="24"/>
          <w:szCs w:val="24"/>
          <w:u w:val="single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ab/>
        <w:t>Prace należy prowadzić z zachowaniem szczególnej ostrożności i z podjęciem wszelkich kroków bezpieczeństwa. Podstawowe warunki realizacji robót obejmują niżej wymienione zalecenia.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Prace należy prowadzić przy użyciu odpowiednich narzędzi i sprzętu. Przewiduje się prowadzenie prac ręcznych, jak również z użyciem sprzętu mechanicznego / elektrycznego, a w przypadku przenoszenia i przewożenia materiałów budowlanych oraz materiałów rozbiórkowych – sprzętu ciężkiego.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Przy prowadzeniu prac należy stosować urządzenia zabezpieczające i ochronne, umożliwiające bezpieczne działanie sprzętu mechanicznego.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Pracownicy powinni być zaopatrzeni w środki ochronne jak odzież, maski, okulary, środki higieniczne.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Prace należy realizować wyłącznie po zabezpieczeniu pomieszczeń podlegających remontowi i zapewnieniu bezpieczeństwa osób postronnych.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Materiały budowlane powinny być gromadzone w pomieszczeniach podlegających remontowi lub w wyznaczonych miejscach na zewnątrz tych pomieszczeń bez dostępu osób postronnych. Materiał rozbiórkowy powinien być sukcesywnie przenoszony w wyznaczone miejsca. Nie dopuszcza się zalegania materiału w terenie prowadzenia prac.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Prace należy prowadzić z zachowaniem ostrożności, w ustalonej przez kierującego robotami kolejności. Prace rozbiórkowe i demontażowe należy wykonywać stopniowo bez wyrywania, obalania, podcinania dużych fragmentów, mogących uszkodzić konstrukcję przegród istniejącego budynku lub inne jego elementy.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ab/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  <w:u w:val="single"/>
        </w:rPr>
        <w:t>Zagospodarowanie materiału rozbiórkowego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i w:val="false"/>
          <w:iCs w:val="false"/>
          <w:sz w:val="24"/>
          <w:szCs w:val="24"/>
          <w:u w:val="single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ab/>
        <w:t xml:space="preserve">Wykonawca jest zobowiązany do zagospodarowania i wywiezienia odpadów powstałych w procesie rozbiórek i demontaży. Posiadacz odpadów powinien postępować z odpadami w sposób zgodny z zasadami gospodarowania odpadami oraz wymogami ochrony środowiska. Materiały z robót rozbiórkowych powinny być segregowane w miejscu ich demontażu i magazynowane selektywnie do czasu wywozu z terenu robót. Zgodnie </w:t>
      </w:r>
      <w:r>
        <w:rPr>
          <w:rFonts w:cs="Arial" w:ascii="Arial" w:hAnsi="Arial"/>
          <w:sz w:val="24"/>
          <w:szCs w:val="24"/>
        </w:rPr>
        <w:t>z Rozporządzeniem Ministra Środowiska z dnia 27 września 2001 r. w sprawie katalogu odpadów (Dz.U. Nr 112, póz. 1206) materiały z rozbiórki należą do grupy 17 - odpady z budowy, remontów i demontażu obiektów budowlanych oraz infrastruktury drogowej.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W rezultacie robót rozbiórkowych zostaną na placu rozbiórki wytworzone następujące rodzaje odpadów: 17.01.01 - gruz betonowy, 17.01.02 - gruz ceglany,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17.01.03 - odpady innych materiałów ceram. i elementów wyposażenia, 17.01.80 - usunięte tynki, 17.02.03 - tworzywa sztuczne, 17.04.05 - żelazo i stal, 17.09.04 - zmieszane odpady z demontażu, 17.02.01 – drewno.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Nie stwierdzono odpadów azbestowych. Z wytworzonych odpadów należy oddzielić te, które mogą stanowić zagrożenie dla ochrony środowiska. Wywozem i utylizacją ewentualnych elementów stanowiących zagrożenie dla środowiska, powinny zajmować się specjalistyczne firmy stosujące odpowiednio bezpieczne technologie - nie narażające ludzi w trakcie wykonywania prac i nie skażające dodatkowo otoczenia. Pozostałe odpady podlegają składowaniu na składowisku odpadów komunalnych.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i w:val="false"/>
          <w:i w:val="false"/>
          <w:i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i w:val="false"/>
          <w:iCs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i w:val="false"/>
          <w:i w:val="false"/>
          <w:i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i w:val="false"/>
          <w:iCs w:val="false"/>
          <w:color w:val="000000"/>
          <w:sz w:val="24"/>
          <w:szCs w:val="24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sz w:val="28"/>
          <w:szCs w:val="28"/>
          <w:u w:val="single"/>
        </w:rPr>
      </w:pPr>
      <w:r>
        <w:rPr>
          <w:rFonts w:eastAsia="HG Mincho Light J" w:cs="Arial" w:ascii="Arial" w:hAnsi="Arial"/>
          <w:b/>
          <w:bCs/>
          <w:sz w:val="28"/>
          <w:szCs w:val="28"/>
          <w:u w:val="single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sz w:val="28"/>
          <w:szCs w:val="28"/>
          <w:u w:val="single"/>
        </w:rPr>
      </w:pPr>
      <w:r>
        <w:rPr>
          <w:rFonts w:eastAsia="HG Mincho Light J" w:cs="Arial" w:ascii="Arial" w:hAnsi="Arial"/>
          <w:b/>
          <w:bCs/>
          <w:sz w:val="28"/>
          <w:szCs w:val="28"/>
          <w:u w:val="single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sz w:val="24"/>
          <w:szCs w:val="24"/>
        </w:rPr>
      </w:pPr>
      <w:r>
        <w:rPr/>
        <w:t>II. OPIS PROJEKTOWANYCH ROBÓT I DANE MATERIAŁOWE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color w:val="000000"/>
          <w:sz w:val="24"/>
          <w:szCs w:val="24"/>
          <w:u w:val="none"/>
          <w:shd w:fill="auto" w:val="clear"/>
        </w:rPr>
        <w:t>Uwaga:</w:t>
      </w:r>
      <w:r>
        <w:rPr>
          <w:rFonts w:eastAsia="HG Mincho Light J"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 ujęte w niniejszej części projektu informacje, dotyczące instalacji elektrycznych, sanitanych, co. i wentylacji - mają charakter informacyjny. Realizacja na podstawie projektów branżowych.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pPr>
      <w:r>
        <w:rPr/>
        <w:t>1. PRACE ROZBIÓRKOWE I DEMONTAŻOWE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>Prace demontażowe w obrębie instalacji elektrycznej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odłączenie od zasilania z rozdzielni głównej (RG),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demontaż przewodów  w obrębie sali;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demontaż gniazd, włączników, pozostałych punktów;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demontaż szafki włączników oświetlenia;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- demontaż opraw oświetlenia mocowanych do stalowego profilu utwierdzonego w stropie;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>Prace demontażowe w obrębie instalacji sanitarnych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miejscowe zamknięcie zasilania istalacji c.o.;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demontaż grzejników;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odłączenie z pełnym demontażem  - rurociągów c.o. zaopatrujących grzejniki na sali (od rozdzielni znajdującej się w drugim skrzydle budynku);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>Prace rozbiórkowe w obrębie elementów budowlanych i wykończenia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Demontaż skrzydeł drzwiowych i wykucie z muru ościeżnic o wym. w świetle muru 146x204cm;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Demontaż wyposażenia sportowego: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ab/>
        <w:t>- drabinki,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ab/>
        <w:t>- tablice do gry w koszykówkę,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ab/>
        <w:t>- uchwyt ścienny montażu siatki,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ab/>
        <w:t>- tuleje montażowe sprzętu, piłkochwyty,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Demontaż istniejącego wykończenia posadzki wraz z legarami (przyjęto - 396,50m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):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start="737" w:end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parkiet drewniany – 15mm,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start="737" w:end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papa,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start="737" w:end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deska podłogowa – 32mm,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start="737" w:end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legary drewniane 75mm x 75mm w dwóch poziomach i w rozastawie 1m,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start="737" w:end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papa (izolacja przeciwwilgociowa);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Likwidacja kanału instalacyjnego (w związku ze zmianą układu warstw posadzkowych i zmianą przebiegu instalacji):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ab/>
        <w:t xml:space="preserve">- demontaż sklepienia kanału z płyt betonowych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w ilośc: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40,70mb x 0,9m x 0,07m = 2,5641m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3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ab/>
        <w:t xml:space="preserve">-  rozbiórka ścianki murowanej kanału; (przyjęto: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40,70mb x 1,5m x 0,25m = 15,2625m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3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- Demontaż warstwy betonowej oraz warstw podbudowy posadzki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 xml:space="preserve">(w polu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352,1m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):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start="737" w:end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- warstwa betonowa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(przyjęto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0,07m x 352,1m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= 24,647m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3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start="737" w:end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- istniejąca podbudowa wraz z warstwą gruntową przeznaczoną do usunięcia w celu wykonania nowych warstw podbudowy; 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 xml:space="preserve">razem z korytowaniem podłoża 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u w:val="none"/>
          <w:shd w:fill="auto" w:val="clear"/>
        </w:rPr>
        <w:t xml:space="preserve">pod nowe warstwy podbudowy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przyjęto:  352,10m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x 0,49m = 172,529m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),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Demontaż okładziny ściennej drewnianej (boazerii) wraz z rusztem (126,99m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Zeskrobanie  / zmycie starej farby z powierzchni ścian (561,5m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Miejscowe usunięcie tynków luźnych zniszczonych, odpadających (przyjęto 10%);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Oczyszczenie powierzchni sufitów (399,20m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Miejscowe usunięcie zniszczonych, luźnych powłok z powierzchni sufitu (przyjęto 10%);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- Oczyszczenie elementów stalowych konstrukcji kratowej i innych konstrukcji pod sufitem (359mb - główne profile konstrukcyjne, 267mb – profile o mniejszym przkroju);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Zeskrobanie odpryskującej farby z powierzchni elementów stalowych (przyjęto 5%);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Skucie parapetów (5szt. o głębokości 0,22m i długości 2,62m).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/>
        <w:t xml:space="preserve">2. ZASADNICZE PRACE REMONTOWE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u w:val="none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Zaślepienie kanału instalacyjnego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Wykonanie ścianek zaślepiających kanał (do miejsca jego likwidacji w obrębie sali gimnastycznej); ścianki z bloczków betonowych na podbiciu betonowym. Należy wykonać: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 xml:space="preserve">- fundament betonowy z betonu B-25 W-8: (przyjęto: 2 szt. x 0,6m x 0,8m x 0,4m = </w:t>
      </w:r>
      <w:r>
        <w:rPr>
          <w:rFonts w:cs="Arial" w:ascii="Arial" w:hAnsi="Arial"/>
          <w:b/>
          <w:bCs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0,384m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>3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)</w:t>
      </w:r>
      <w:r>
        <w:rPr>
          <w:rFonts w:cs="Arial" w:ascii="Arial" w:hAnsi="Arial"/>
          <w:b/>
          <w:bCs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,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 xml:space="preserve">- ściana z bloczków betonowych o gr. 38cm:  (przyjęto: 2 szt. x 0,8m x 1,2m x 0,38m =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0,7296m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>3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),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none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Zasypanie przestrzeni kanału instalacyjnego</w:t>
      </w:r>
    </w:p>
    <w:p>
      <w:pPr>
        <w:pStyle w:val="Normal"/>
        <w:suppressAutoHyphens w:val="false"/>
        <w:spacing w:lineRule="auto" w:line="240" w:before="0" w:after="0"/>
        <w:rPr/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Zasypanie kanału pospółką zagęszczaną warstwami po 10cm do Is=0,97 (przyjęto:</w:t>
      </w:r>
      <w:r>
        <w:rPr>
          <w:rFonts w:cs="Arial" w:ascii="Arial" w:hAnsi="Arial"/>
          <w:b/>
          <w:bCs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1,1m x 0,73m x 40,70mb = 32,6821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>3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)</w:t>
      </w:r>
    </w:p>
    <w:p>
      <w:pPr>
        <w:pStyle w:val="Normal"/>
        <w:suppressAutoHyphens w:val="false"/>
        <w:spacing w:lineRule="auto" w:line="240" w:before="0" w:after="0"/>
        <w:rPr/>
      </w:pPr>
      <w:r>
        <w:rPr/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position w:val="0"/>
          <w:sz w:val="24"/>
          <w:sz w:val="24"/>
          <w:szCs w:val="24"/>
          <w:u w:val="single"/>
          <w:shd w:fill="auto" w:val="clear"/>
          <w:vertAlign w:val="baseline"/>
        </w:rPr>
        <w:t>Docieplenie ściany zewnętrznej w przestrzeni likwidowanego kanału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- Zewnętrzną ścianę w przebiegu kanału instalacyjnego należy docieplić warstwą styropianu XPS (gr. 10cm) klejonego do powierzchni ściany za pomocą masy bitumicznej bezrozpuszczalnikowej np. KMB. Termoizolację wykonać po uprzednim oczyszczeniu i osuszeniu ściany oraz (względnie)  wyrównaniu większych nierówności w jej obrębie - zaprawą tynkarską. W warstwie projektowanego docieplenia uwzględnić przebieg kanałów nawiewu wentylacji posadzki i wykonać stosowne otwory.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Przyjęto: 1,11m x  41,64m = 46,22m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 – powierzchni docieplanej.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none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Projektowana posadzka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Posadzka sportowa wykonana wg wybranego dostawcy / producenta, powinna spełniać wymogi normy PN-EN 14904:2009 / DIN 18032 cz.2 - lub normy równorzędnej.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Poziom posadzki wykończonej – równy z poz. komunikacji przed pomieszczeniem.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1) Projektowana warstwa legarowa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u w:val="none"/>
          <w:shd w:fill="auto" w:val="clear"/>
        </w:rPr>
        <w:t xml:space="preserve"> (przyjęto powierzchnię realizowanych warstw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 xml:space="preserve"> - 396,50m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)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: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(Opisywane warstwy - od warstwy górnej)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wykończenie – parkiet o gr. 22mm, przeznaczony do powierzchni sportowych pokryty lakierem poliuretanowym wg powyższej wymienionej normy lub normy równorzędnej;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- 2 x płyta wiórowa frezowana - 12mm (warstwy układane na mijankę) z zacierką spoin górnej warstwy masą szpachlową / alternatywnie płyty ze sklejki (wg systemu producenta);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folia izolacyjna PE;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deska szer. 9cm w rozstawie co 7cm – o gr. 25mm (przyjęto: 0,01475m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3</w:t>
      </w:r>
      <w:r>
        <w:rPr>
          <w:rFonts w:cs="Arial" w:ascii="Arial" w:hAnsi="Arial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deski na 1m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powierzchni podłogi);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legary (o szer. 9cm – lub wg systemu producenta) ze sklejki o gr.18mm w rozstawie co 50cm, układane na krzyż w dwóch warstwach (przyjęto: 4mb na 1m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pow. posadzki, co daje: 0,36m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 lub 0,00648m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 xml:space="preserve">3 </w:t>
      </w:r>
      <w:r>
        <w:rPr>
          <w:rFonts w:cs="Arial" w:ascii="Arial" w:hAnsi="Arial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sklejki na 1m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 podłogi; 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alternatywnie stosować legary z drewna litego o gr. 25mm (w zależności od systemu producenta);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podkładka gumowa 10x10cm amortyzująca pod dolnym legarem – o gr.10mm lub wg stosowanego systemu (przyjęto: 8 szt. na 1m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podłogi);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folia izolacyjna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u w:val="none"/>
          <w:shd w:fill="auto" w:val="clear"/>
        </w:rPr>
        <w:t xml:space="preserve"> PE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2_ Projektowana warstwa wewnętrzna oraz podbudowa: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(Opisywane warstwy - od warstwy górnej)</w:t>
      </w:r>
    </w:p>
    <w:p>
      <w:pPr>
        <w:pStyle w:val="BodyText"/>
        <w:suppressAutoHyphens w:val="false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/>
          <w:sz w:val="24"/>
          <w:szCs w:val="24"/>
        </w:rPr>
        <w:t xml:space="preserve">- wylewka betonowa z betonu B-20 zbrojona przeciwskurczowo siatką posadzkową - w oddylatowanych polach 6x6m – o gr. 10cm (przyjęto: </w:t>
      </w:r>
      <w:r>
        <w:rPr>
          <w:rFonts w:cs="Arial"/>
          <w:b w:val="false"/>
          <w:bCs w:val="false"/>
          <w:sz w:val="24"/>
          <w:szCs w:val="24"/>
          <w:u w:val="none"/>
        </w:rPr>
        <w:t>0,1m x 396,50m</w:t>
      </w:r>
      <w:r>
        <w:rPr>
          <w:rFonts w:cs="Arial"/>
          <w:b w:val="false"/>
          <w:bCs w:val="false"/>
          <w:sz w:val="24"/>
          <w:szCs w:val="24"/>
          <w:u w:val="none"/>
          <w:vertAlign w:val="superscript"/>
        </w:rPr>
        <w:t xml:space="preserve">2 </w:t>
      </w:r>
      <w:r>
        <w:rPr>
          <w:rFonts w:cs="Arial"/>
          <w:b w:val="false"/>
          <w:bCs w:val="false"/>
          <w:position w:val="0"/>
          <w:sz w:val="24"/>
          <w:sz w:val="24"/>
          <w:szCs w:val="24"/>
          <w:u w:val="none"/>
          <w:vertAlign w:val="baseline"/>
        </w:rPr>
        <w:t xml:space="preserve"> = 39,65m</w:t>
      </w:r>
      <w:r>
        <w:rPr>
          <w:rFonts w:cs="Arial"/>
          <w:b w:val="false"/>
          <w:bCs w:val="false"/>
          <w:sz w:val="24"/>
          <w:szCs w:val="24"/>
          <w:u w:val="none"/>
          <w:vertAlign w:val="superscript"/>
        </w:rPr>
        <w:t>3</w:t>
      </w:r>
      <w:r>
        <w:rPr>
          <w:rFonts w:cs="Arial"/>
          <w:b w:val="false"/>
          <w:bCs w:val="false"/>
          <w:position w:val="0"/>
          <w:sz w:val="24"/>
          <w:sz w:val="24"/>
          <w:szCs w:val="24"/>
          <w:u w:val="none"/>
          <w:vertAlign w:val="baseline"/>
        </w:rPr>
        <w:t>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- warstwa styropianu XPS – o gr. 15cm (przyjęto: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0,15 x 396,50m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 xml:space="preserve">2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 = 59,475m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>3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- izolacja przeciwwilgociowa - 2 x papa zgrzewalna modyfikowana (przyjęto: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396,50m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podbudowa betonowa - (B-10 / B-15) – gr. 20cm (przyjęto: 0,2 x 396,50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 xml:space="preserve">2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= 79,20m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>3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wibroutwardzana warstwa kruszywa (piasek zagęszczany warstwami po 5cm do Is=0,98) – gr. warstwy - 20cm (przyjęto 0,2 x 366,23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 xml:space="preserve">2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= 73,25m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>3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)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- warstwa gruntowa - grunt nośny, pozbawiony cząstek organicznych, o stopniu zagęszczenia (min.) Is=0,97</w:t>
      </w:r>
      <w:r>
        <w:rPr>
          <w:rFonts w:cs="Arial" w:ascii="Arial" w:hAnsi="Arial"/>
          <w:b/>
          <w:bCs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 (patrz uwaga zawarta w cz. III – Uwagi końcowe)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;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none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Wentylacja podłogi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Wentylacja warstwy legarowej - poprzez istniejące otwory wentylacyjne w ścianach zewnętrznych. Istniejące kratki należy oczyścić i w razie konieczności udrożnić. Wylot strumienia powietrza odbywać się będzie poprzez szczeliny w listwach podłogowych usytuowanych po przeciwległej stronie.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Stopy betonowe pod montaż słupków: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siatkarskich głównych (2 szt.),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siatkarskich dodatkowych (2 szt.),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bramek piłki ręcznej (4szt.),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Zaprojektowano stopy wykonane z betonu B25 o wymiarach 50x50x60(h)cm.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eastAsia="Times New Roman" w:cs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 xml:space="preserve">Zbrojenie stopy w formie siatki dolnej z prętów </w:t>
      </w:r>
      <w:r>
        <w:rPr>
          <w:rFonts w:eastAsia="Times New Roman"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Ø10 co 10cm; zbrojenie konstrukcyjne pionowe 4x Ø10; strzemiona zbrojenia pionowego – Ø6 co 15cm;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eastAsia="Times New Roman"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Stopy betonowe należy posadowić na warstwie betonu B-15 o gr. 10cm (przyjęto – 1,25m</w:t>
      </w:r>
      <w:r>
        <w:rPr>
          <w:rFonts w:eastAsia="Times New Roman"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>3</w:t>
      </w:r>
      <w:r>
        <w:rPr>
          <w:rFonts w:eastAsia="Times New Roman"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Listwy przypodłogowe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Montaż listew (na połączeniu posadzka / ściana) – drewnianych lub duropolimerowych  z otworami wentylacyjnymi (przyjęto łącznie: 81,28mb);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none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Ściany istniejące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(Prace do realizacji po uprzedniej likwidacji zużytych powłok, oczyszczeniu i osuszeniu ścian; do prac remontowych przyjęto powierzchnię ściany - 561,5m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)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Naprawa uszkodzonych tynków za pomocą zaprawy tynkarskiej cementowo wapiennej (przyjęto 10%);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Względnie zastosowanie zapraw naprawczych do betonu przy uszkodzeniach ingerujących w konstrukcję (ptrzyjeto 10%);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Zabezpieczenie krawędzi narożników listwami aluminiowymi wtapianymi w gładź cementową (przyjęto: listwy wewnętrzne 85,04mb, listwy zewnętrzne 164,71mb);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Równanie ścian gładzią cementową  (przyjęto 561,5m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Gruntowanie ścian gruntem uniwersalnym lub preparatem dostosowanym do składu podłoża  (przyjęto 561,5m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Malowanie ścian farbą lateksową (przyjęto 561,5m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Parapety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- Wykonanie parapetów okiennych drewnianych  z płyty HPL o gr. 25mm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(przyjęto łącznie - 13mb parapetów o szerokości 0,27m).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Powierzchnia wewnętrzna stropu z płyt korytkowych - sufit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 xml:space="preserve"> (do prac remontowych pryjęto - 399,20m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Oczyszczenie powierzchni / względnie zagruntowanie przed ewentualnymi pracami tynkarskimi;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- Miejscowe uzupełnienia  podniszczonej struktury porowatej tynku (typu "baranek") za pomocą zaprawy tynkarskiej (przyjęto 10%);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Gruntowanie podłoża przed malowaniem;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Malowanie farbą akustyczną - dźwiękochłonną;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Konstrukcja stalowa podpierająca stropodach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- Oczyszczenie powierzchni elementów stalowych oraz malowanie farbą - antykorozyjnie i powierzchniowo; przyjęto ilość: 359mb - główne profile konstrukcyjne, 267mb – profile o mniejszym przekroju).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Wywietrzaki dachowe / sufitowe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- Oczyszczenie powierzchni blaszanych, malowanie antykorozyjne i powierzchniowe. Należy sprawdzić drożność kanałów i w razie konieczności udrożnić.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Drzwi (2 szt.)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none"/>
          <w:shd w:fill="auto" w:val="clear"/>
        </w:rPr>
        <w:t xml:space="preserve">- 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Monta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ż drzwi dwuskrzydłowych w otworze o wym. 146x204cm i minimalnej szer. przejścia skrzydła głównego 90x200cm;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Parametry drzwi: podwyższona izolacyjność akustyczna Rw-38db, wyposażenie w samozamykacz,  blokadę kąta otwarcia skrzydła (90°), próg opadający,  system uszczelnień akustycznych, wypełnienie akustyczne;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Możliwe warianty materiałowe: drewno, aluminium, PCV;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W wyniku montażu drzwi nie może powstać bariera architektoniczna w postaci wystających progów i uskoków.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 xml:space="preserve">* Nadproża (2 szt.)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W ramach wymiany drzwi zaprojektowano podwyższenie otworów do swobodnego osadzenia nowej stolarki drzwiowej.  Przewidziano ewentualny montaż nowych nadproży (2szt) w przypadku trudności wykonawczych w uzyskaniu wymaganych parametrów drzwi, wynikających ze zbyt niskiego usytuowania istniejących nadproży.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Zaprojektowano nadproża stalowe z profili UPN 200 L=190, łączonych śrubami M12 kl.5.8. Nadproża należy osadzić na poduszkach betonowych (B20). Przestrzenie wewnątrz ceowników wypełnić poprzez szpałdowanie, całość konstrukcji pokryć tynkiem cementowo – wapiennym na siatce.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i w:val="false"/>
          <w:i w:val="false"/>
          <w:iCs w:val="false"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i w:val="false"/>
          <w:iCs w:val="false"/>
          <w:strike w:val="false"/>
          <w:dstrike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/>
          <w:bCs/>
          <w:i w:val="false"/>
          <w:i w:val="false"/>
          <w:i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/>
        <w:t>3. WYPOSAŻENIE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i w:val="false"/>
          <w:i w:val="false"/>
          <w:i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i w:val="false"/>
          <w:i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Tablice do koszykówki</w:t>
      </w: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 xml:space="preserve">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(2.szt. - wg specyfikacji wyposażenia)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- Montaż nowych tablic do gry w koszykówkę z wyposażeniem w kosz i  siatkę, wraz z konstrukcją wspornikową uchylną.  Wymiary tablicy - 180x105cm, wysokość usytuowania krawędzi dolnej – 290cm;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Długość wysięgu konstrukcji 120cm od końcowej linii boiska / ok. 180cm od konstrukcji ściany</w:t>
      </w: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>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Mocowanie zestawu do ściany należy wykonać za pomocą kotew stalowych  M12 do zamocowań z kotwą chemiczną (np. masą kotwiącą poliestrową) – lub wg karty technicznej i zaleceń producenta.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 xml:space="preserve">Należy zastosować tablice z konstrukcją wyposażoną w połączenia przegubowe umożliwiające składanie kosza w poziomie na ścianę przy pomocy uchwytów. Zestawy powinny być wyposażone w blokadę położenia kosza – zamykaną i otwieraną poprzez pociągniecie w dół uchwytów (składanie / rozkładanie) konstrukcji).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Ponowny montaż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 istniejących tablic - do wykorzystania przy  podziale boiska na dwie części [2 szt.];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Mocowanie konstrukcji podtrzymujących tablice do ściany  za pomocą kotew stalowych  M12 do zamocowań wraz z kotwą chemiczną (np. masą kotwiącą poliestrową).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Bramki do piłki ręcznej</w:t>
      </w: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 xml:space="preserve">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(2 szt. - wg specyfikacji wyposażenia)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Montaż nowych bramek do piłki ręcznej wraz z siatką i tulejami montażowymi (2 tuleje na bramkę). Wymiary światła bramki - 300x200cm. Konstrukcja frontu bramki  stalowa z profili 80x80mm malowanych proszkowo z systemowymi połączeniami z blachy stalowej ocynkowanej. Elementy poprzeczne pionowe i poziome z profili systemowych stalowych (wg systemu producenta).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Montaż podłogowy – za pomocą tulei do wpuszczenia słupków osadzonych w podłodze i marek talerzowych  z kotwami - dodatkowo stabilizujących dolny profil poprzeczny  (ilość elementów wg systemu producenta);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Słupki do siatkówki</w:t>
      </w: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 xml:space="preserve">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 xml:space="preserve">(2 szt. - standard + 2 szt. dodatkowo – wg specyfikacji wyposażenia)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Montaż słupków do siatkówki, wraz z tulejami i deklami, z siatką i antenkami w zestawie. Słupki o profilu aluminiowym (lub wg dostawcy wybranego systemu) o średnicy 100 - 110mm z naciągiem o regulowanej wysokości siatki.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Stanowisko sędziowskie</w:t>
      </w: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 xml:space="preserve">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(1 szt. wg specyfikacji wyposażenia)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- Stanowisko sędziowskie  składane z rur aluminiowych, mocowane do słupka (trzy punkty utwierdzenia przy słupku / trzy punkty podparcia), z regulowaną wysokością usytuowania podestu sędziowskiego.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Tuleje montażowe elementów wyposażenia</w:t>
      </w: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 xml:space="preserve">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Tuleje – do montażu bramki (o przekroju 100x100mm – lub wg systemu wybranego dostawcy)</w:t>
      </w:r>
      <w:r>
        <w:rPr>
          <w:rFonts w:eastAsia="Times New Roman"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, 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zabezpieczone deklem systemowym (2szt.);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Tuleje – do montażu słupków siatkarskich (</w:t>
      </w:r>
      <w:r>
        <w:rPr>
          <w:rFonts w:eastAsia="Times New Roman" w:cs="Calibri" w:ascii="Calibri" w:hAnsi="Calibri"/>
          <w:strike w:val="false"/>
          <w:dstrike w:val="false"/>
          <w:color w:val="000000"/>
          <w:sz w:val="24"/>
          <w:szCs w:val="24"/>
          <w:shd w:fill="auto" w:val="clear"/>
        </w:rPr>
        <w:t>Ø</w:t>
      </w:r>
      <w:r>
        <w:rPr>
          <w:rFonts w:eastAsia="Times New Roman"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110 – </w:t>
      </w:r>
      <w:r>
        <w:rPr>
          <w:rFonts w:eastAsia="Times New Roman" w:cs="Calibri" w:ascii="Calibri" w:hAnsi="Calibri"/>
          <w:strike w:val="false"/>
          <w:dstrike w:val="false"/>
          <w:color w:val="000000"/>
          <w:sz w:val="24"/>
          <w:szCs w:val="24"/>
          <w:shd w:fill="auto" w:val="clear"/>
        </w:rPr>
        <w:t>Ø</w:t>
      </w:r>
      <w:r>
        <w:rPr>
          <w:rFonts w:eastAsia="Times New Roman"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120mm – lub wg systemu wybranego dostawcy) 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w standardowym wykorzystaniu (2szt.);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Tuleje dodatkowe (</w:t>
      </w:r>
      <w:r>
        <w:rPr>
          <w:rFonts w:eastAsia="Times New Roman" w:cs="Calibri" w:ascii="Calibri" w:hAnsi="Calibri"/>
          <w:strike w:val="false"/>
          <w:dstrike w:val="false"/>
          <w:color w:val="000000"/>
          <w:sz w:val="24"/>
          <w:szCs w:val="24"/>
          <w:shd w:fill="auto" w:val="clear"/>
        </w:rPr>
        <w:t>Ø</w:t>
      </w:r>
      <w:r>
        <w:rPr>
          <w:rFonts w:eastAsia="Times New Roman"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110 – </w:t>
      </w:r>
      <w:r>
        <w:rPr>
          <w:rFonts w:eastAsia="Times New Roman" w:cs="Calibri" w:ascii="Calibri" w:hAnsi="Calibri"/>
          <w:strike w:val="false"/>
          <w:dstrike w:val="false"/>
          <w:color w:val="000000"/>
          <w:sz w:val="24"/>
          <w:szCs w:val="24"/>
          <w:shd w:fill="auto" w:val="clear"/>
        </w:rPr>
        <w:t>Ø</w:t>
      </w:r>
      <w:r>
        <w:rPr>
          <w:rFonts w:eastAsia="Times New Roman"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120mm – lub wg systemu wybranego dostawcy) 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– do montażu siatki (2szt.);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Tuleje do montażu  słupków bramki i słupków siatkarskich w zestawie z deklami, wykonane ze stali z warstwą ocynku, o długości 50cm (lub wg parametrów wybranego producenta). Tuleje należy utwierdzić w stopach betonowych o wymiarach min. 50x50x60cm, wylanych pod warstwą wykończeniową posadzki.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Drabinki treningowo  - gimnastyczne</w:t>
      </w: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 xml:space="preserve">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(12 szt. wraz z zestawem uchwytów wg specyfikacji wyposażenia)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Montaż drabinek drewnianych w podwójnych modułach 180x300cm (11 szt. + jeden zestaw zapasowy). Mocowanie do ściany na śruby i uchwyty z płaskowników stalowych ocynkowanych (3 uchwyty - góra / dół / środek - na jedną belkę pionową (bocznicę) lub wg danych wybranego producenta. Długość kotew – niestandardowa, z uwzględnieniem grubości mat / paneli akustycznych montowanych na ścianach za drabinkami. Szacowana długość kotew 20cm do płaszczyzny ściany (domiar na miejscu inwestycji). Konstrukcja drabinek zbudowana z bocznic i belki środkowej o przekroju 12x4,5cm. Poprzeczki drabinki o średnicy 3,6cm.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Panele akustyczne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 xml:space="preserve"> (87,2 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 xml:space="preserve">2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wg specyfikacji wyposażenia)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- Montaż paneli akustycznych o gr. do 5cm - na bazie wełny mineralnej – skalnej (lub wg systemu wybranego producenta).  Należy zastosować rozwiązanie przeznaczone do obiektów sportowych z uwzględnieniem  odporności materiału na uderzenia piłką.  Panele te powinny posiadać zewnętrzną warstwę wzmocnioną 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np.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siatką z włókien syntetycznych lub inną formę zabezpieczenia (wg systemu producenta). Montaż paneli – bezpośrednio do ściany, za pomocą systemowych listew profilowych. W miejscach gniazd / włączników / elementów montażowych wyposażenia mocowanych do ściany, należy wykonać stosowne otwory w panelach akustycznych z systemowym wykończeniem ich krawędzi, lub skorygować adaptację.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Alternatywnie do paneli można zastosować maty z pianki poliuretanowej naklejane na powierzchnie ścienne (lub mocowane wg sposobu montażu dostawcy).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Rozmieszczenie izolacji akustycznej: w pasie ściennym o  wysokości 2,4m (dolna krawędź na wys. 0,8m, górna krawędź na wys. 3,2m). Powierzchnie izolowane akustycznie przyjąć na podstawie rysunku z wariantami lokalizacji. Ostatecznie szczegółową wysokość / kształt / formę - zakładanej izolacji należy dostosować do istniejących warunków, możliwości montażowych i wielkości elementów wybranego systemu.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Osłony grzejnikowe</w:t>
      </w: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 xml:space="preserve"> (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9szt. o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szacunkowych wym 2,75m x 0,80m)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Montaż (9szt.) osłon grzejnikowych z płyt HPL (18mm), wykonanych na wymiar przez wybranego dostawcę. Przewidywane wymiary frontów: 262 x 80cm (w przestrzeni okien, 266 x 80cm w przestrzeniach międzyokiennych, z docięciem pod wymiar elementów skrajnych.  Utwierdzenie elementów płytowych - do bocznych powierzchni wystających filarów ściany oraz w środkowej części osłony -  do ściany w przestrzeni grzejnika. Montaż za pomocą uchwytów systemowych ze stali ocynkowanej  (2 x każda strona + jeden uchwyt na środku ponad grzejnikiem / pod grzejnikiem – w zależności od możliwości montażu) lub wg wytycznych producenta. W wykonawczym obmiarze poszczególnych elementów należy uwzględnić: rozmiar, położenie grzejników, wysokość parapetu; (założono, iż odsunięcie osłony od ściany za grzejnikiem powinno wynosić około 25cm).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 xml:space="preserve">Siatka ochronna (piłkochwyt)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Siatka ochronna o łącznym wymiarze 8x27m (wg specyfikacji wyposażenia) wraz z zestawem elementów mocujących.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Zaprojektowano montaż polipropylenowych siatek sznurkowych o wielkości oczek 50x50mm wykonanych pod wymiar okien i antresoli z dobranym indywidualnie sposobem montażu.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Przewidziano 5 szt. piłkochwytów okiennych o przybliżonych wymiarach: 3,0x6,1m (chronione pole okna 2,66x5,89m) oraz siatkę chroniącą przestrzeń antresoli o przybliżonych wymiarach chronionego pola: 14,95(długość w poziomie) x 2,90m (ściana od strony okien) x 3,65m (ściana od strony korytarza).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 xml:space="preserve">Przewidziano montaż za pomocą zestawu mocującego, składającego się  ze stalowych linek powlekanych PCV, biegnących wzdłuż krawędzi chronionych pól, napiętych na wspornikach stalowych systemowych zamocowanych do ścian; podczepienie  siatki do linek za pomocą karabińczyków stalowych (w zestawie z siatką i montażem); 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Ewentualny montaż w przypadku siatek skrajnych - za pomocą uchwytów (haków stalowych utwierdzonych w ścianach) i  zaczepów sznurkowych z możliwością napinania siatki (ilość i rozkład uchwytów wg  wytycznych dostawcy systemu).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Zastosowany system montażu powinien gwarantować sztywne napięcie siatki i jej usytuowanie w odległości min. 40cm od płaszczyzny okna.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Kotara grodząca wraz z konstrukcją wsporczą</w:t>
      </w: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 xml:space="preserve">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Montaż kotary dzielącej salę na dwa niezależne pola (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o wym. 18x9m wg specyfikacji wyposażenia)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. Zaprojektowano kotarę wykonaną w górnej część z siatki sznurkowej polipropylenowej, dolna część do wysokości 2,5m wykonana z materiału półprzezroczystego. Projektowy wymiar płaszczyzny grodzącej: 15m x 7m. Prowadzenie / rozkładanie kotary ręczne – wg wybranego systemu.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Konstrukcję wsporczą kotary należy dostosować do indywidualnych możliwości w oparciu o system wybranego dostawcy.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Przewidziano montaż kotary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 xml:space="preserve"> z użyciem szyny prowadzącej z profilu stalowego, wraz z zestawem wózków jezdnych; szyna montowana do konstrukcji wsporczej adaptowanej pod wymiar z uwzględnieniem warunków istniejącego przekrycia sali; wykonanie na indywidualne zamówienie, przez wybranego dostawcę systemu.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Alternatywnie, przy braku możliwości zastosowania szyny prowadzącej, należy zastosować konstrukcję demontowaną, w skład której wchodzą: lina stalowa rozpięta pomiędzy ścianami sali, naciąg listwowy regulowany,  uchwyt zaczepu kotary mocowany przeciwlegle do naciągu, uchwyty stalowe zaczepienia siatki do linki, zestaw dodatkowych słupków wsporczych; wykonanie na indywidualne zamówienie, przez wybranego dostawcę systemu.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Rozpiętość kotary  i konstrukcji wsporczej  - 15m.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Zestaw do unihokeja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- Wyposażenie w zestaw składający się z: dwóch bramek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 xml:space="preserve"> (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1,15x1,60m) z siatkami oraz komplet band o wymiarach pola10x20m.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Tablice wyników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Montaż tablic wyników z wyświetlaczami LED (2 szt.) . Montaż ścienny za pomocą uchwytów systemowych i kotew (np. M12 z kotwieniem chemicznym – 4 szt, na na tablicę). Usytuowanie na bocznej ścianie ponad drabinkami. Sterowanie zdalne pilotem lub kablowe za pomocą pulpitu sterującego.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Tabliczki informacyjne przed wejściem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Montaż tabliczek z napisem w alfabecie Braille’a. Tabliczki ze stali szczotkowanej z grawerem lub napisami naklejanymi.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pPr>
      <w:r>
        <w:rPr/>
        <w:t>4. PRACE W OBRĘBIE INSTALACJI ELEKTRYCZNYCH I INSTALACJI SANITARNYCH  (WYKONANIE WG PROJEKTÓW BRANŻOWYCH)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Prace w obrębie instalacji elektrycznej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Montaż tablicy rozdzielczej natynkowej (TR) wraz z osprzętem;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Montaż skrzynki XLR;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Montaż przewodu zasilającego (WLZ) z istniejącej rozdzielni głównej (RG) usytuowanej w korytarzu na parterze – przewód prowadzony w  listwach montażowych i przez przegrody;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Układanie i montaż przewodów z wyprowadzeniem zasilania: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start="680" w:end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oświetlenia,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start="680" w:end="0"/>
        <w:rPr>
          <w:rFonts w:ascii="Arial" w:hAnsi="Arial" w:cs="Arial"/>
          <w:i w:val="false"/>
          <w:i w:val="false"/>
          <w:i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gniazd wtykowych,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start="680" w:end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i w:val="false"/>
          <w:iCs w:val="false"/>
          <w:strike w:val="false"/>
          <w:dstrike w:val="false"/>
          <w:color w:val="000000"/>
          <w:sz w:val="24"/>
          <w:szCs w:val="24"/>
          <w:shd w:fill="auto" w:val="clear"/>
        </w:rPr>
        <w:t>- systemu nagłośnienia (zasilanie głośników 230V i XLR),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start="680" w:end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zasilających tablice wyników,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start="680" w:end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- zasilających ekran projekcyjny elektryczny,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start="680" w:end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- zasilających istniejące wentylatory,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Sposób układania przewodów –</w:t>
      </w: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 xml:space="preserve">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podtynkowo, ewentualnie w miejscach gdzie jest to niemożliwe w listwach maskujących, lub w warstwie podłogowej. Doprowadzenie przewodów do zawiesi opraw oświetleniowych – zgodnie ze starą trasą, tj. po profilach istniejących utwierdzonych pod sufitem.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 xml:space="preserve">- Montaż oświetlenia dedykowanego dla sal o większej kubatrurze / sal sportowych.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i w:val="false"/>
          <w:i w:val="false"/>
          <w:i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Montaż gniazd 230V (standard + dodatkowych na wys. 1,2 i 3,5 m – wg branży elektrycznej)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i w:val="false"/>
          <w:i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 xml:space="preserve">- Montaż niezależnych opraw oświetlenia ewakuacyjnego,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Wykonanie pomiarów elektrycznych.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Prace w obrębie instalacji sanitarnych i wentylacji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Wykonanie rurociągu zasilania grzejników – od rozdzielacza znajdującego się poza salą (prowadzenie rurociągów posadzkowo pod warstwą legarową);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eastAsia="HG Mincho Light J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Montaż nowych grzejników z podejściem ściennym lub podłogowym;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eastAsia="HG Mincho Light J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eastAsia="HG Mincho Light J"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Wykonanie badań szczelności instalacji c.o.;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eastAsia="HG Mincho Light J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eastAsia="HG Mincho Light J"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Udrożnienie istniejących wywietrzaków dachowych;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eastAsia="Times New Roman" w:cs="Arial"/>
          <w:b w:val="false"/>
          <w:bCs w:val="false"/>
          <w:color w:val="auto"/>
          <w:sz w:val="24"/>
          <w:szCs w:val="24"/>
          <w:u w:val="none"/>
          <w:lang w:val="pl-PL" w:eastAsia="zh-CN" w:bidi="ar-SA"/>
        </w:rPr>
      </w:pPr>
      <w:r>
        <w:rPr>
          <w:rFonts w:eastAsia="HG Mincho Light J"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Montaż nawiewników okiennych;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Times New Roman" w:cs="Arial"/>
          <w:b w:val="false"/>
          <w:bCs w:val="false"/>
          <w:color w:val="auto"/>
          <w:sz w:val="24"/>
          <w:szCs w:val="24"/>
          <w:u w:val="none"/>
          <w:lang w:val="pl-PL" w:eastAsia="zh-CN" w:bidi="ar-SA"/>
        </w:rPr>
      </w:pP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u w:val="none"/>
          <w:lang w:val="pl-PL" w:eastAsia="zh-CN" w:bidi="ar-SA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/>
        <w:t>5. PROPONOWANA KOLORYSTYKA I UWAGI DOTYCZĄCE STOSOWANYCH MATERIAŁÓW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none"/>
          <w:shd w:fill="auto" w:val="clear"/>
        </w:rPr>
        <w:t>Uwaga: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 ujęte w niniejszym opracowaniu propozycje nie narzucają kategorycznie rozwiązań kolorystycznych.  Ostatecznie kolorystykę należy ustalić na miejscu inwestycji w oparciu o palety wybranych producentów poszczególnych materiałów.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Do zaproponowania poszczególnych odcieni użyto standardowej palety RAL–Classic.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Proponowana kolorystyka: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Ściany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- Farba lateksowa w proponowanej kolorystyce: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1) Np. RAL 9002 (grey white) – a) w pasie poziomym wokół pomieszczenia wyznaczonym przez górną linię nadproży okiennych i linię styku z sufitem; b) w pasach pionowych filarów przyokiennych i w pasach poziomych podciągów międzyokiennych - ściany południowej; c) w pasach poziomych i pionowych wyznaczonych przez krawędzie tablic koszykarskich bocznych i głównych – w ścianach: pn., wsch., i zach.;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2) Np. RAL 9003 (signal white) – w pozostałych płaszczyznach ściennych wszystkich ścian;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- Panele / maty akustyczne - RAL wg wariantów dostępnych w wybranym systemie (proponowana kolorystyka nawiązująca do przybrudzonej bieli / ecru lub kolor kontrastujący z kolorystyką ścian);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Posadzka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- Parkiet sportowy wg zastosowanego systemu, w kolorze naturalnym, pokryty lakierem poliuretanowym;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Listwy podłogowe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- Drewniane lub polimerowe w odcieniu nawiązującym do kolorystyki podłogi;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Sufit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- Farba akustyczna w kolorze nawiązującym do kolorystyki ścian np. RAL 9002 lub RAL 9003 (lub zbliżonym);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Elementy konstrukcji stalowych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- Farba antykorozyjna / farba wierzchnia w kolorystyce – np. RAL 7042 Traffic grey A;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Drzwi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- wg projektowanych parametrów w kolorystyce np. RAL 7040 window grey;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single"/>
        </w:rPr>
      </w:pPr>
      <w:r>
        <w:rPr>
          <w:rFonts w:cs="Arial" w:ascii="Arial" w:hAnsi="Arial"/>
          <w:b/>
          <w:bCs/>
          <w:u w:val="single"/>
        </w:rPr>
        <w:t>Uwagi ogólne dotyczące stosowanych materiałów wykończeniowych i wyposażenia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single"/>
        </w:rPr>
      </w:pPr>
      <w:r>
        <w:rPr>
          <w:rFonts w:cs="Arial" w:ascii="Arial" w:hAnsi="Arial"/>
          <w:b/>
          <w:bCs/>
          <w:u w:val="single"/>
        </w:rPr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Zastosowane w pracach remontowych materiały powinny spełniać wymogi prawne, normatywne, w tym BHP z uwzględnieniem stosowania w pomieszczeniach szkolnych oraz zapewnić bezpieczeństwo użytkowania, trwałość i odpowiednią jakość.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Materiały nie mogą emitować substancji szkodliwych dla zdrowia (np. formaldehydów, lotnych związków organicznych – LZO, itp);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Materiały powinny być trwałe i nie stwarzać zagrożeń w codziennym użytkowaniu, odporne na uszkodzenia mechaniczne, wilgoć i inne czynniki zewnętrzne;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Powierzchnie wykończeniowe  ścian, podłóg i sufitów powinny być  łatwe do czyszczenia i dezynfekcji (odporne na środki dezynfekcyjne) oraz pozbawione ubytków, aby zapobiegać gromadzeniu się brudu, kurzu, bakterii i wirusów;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Należy stosować materiały o wysokim wskaźniku jakości, oraz materiały, które minimalizują negatywny wpływ na środowisko naturalne;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Podłogi muszą być antypoślizgowe, aby minimalizować ryzyko upadków;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Materiały powinny być wytrzymałe na intensywne użytkowanie i łatwe do utrzymania w czystości, co jest istotne w warunkach szkolnych;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Wyroby używane w placówkach oświatowych powinny posiadać odpowiednie certyfikaty i atesty higieniczne, dopuszczające je do stosowania w budynkach użyteczności publicznej;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Stosowane materiały powinny posiadać właściwości niepalne lub trudno zapalne, o niskiej emisji dymu i braku kapiących elementów.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Projektowane elementy: sprzęt, wyposażenie, urządzenia sportowe, powinny posiadać odpowiednie certyfikaty dopuszczające oraz spełniać obowiązujące normy (w zakresie funkcjonalności, bezpieczeństwa i metody badań), wymienione poniżej lub równorzędne, odnoszące się do tych samych działów:</w:t>
      </w:r>
    </w:p>
    <w:p>
      <w:pPr>
        <w:pStyle w:val="Normal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PN-EN 749:2006/Ap1:2009 - Sprzęt boiskowy - Bramki do piłki ręcznej / lub norma równorzędna;</w:t>
      </w:r>
    </w:p>
    <w:p>
      <w:pPr>
        <w:pStyle w:val="Normal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PN-EN 913:2008 - Sprzęt gimnastyczny / lub norma równorzędna;</w:t>
      </w:r>
    </w:p>
    <w:p>
      <w:pPr>
        <w:pStyle w:val="Normal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PN-EN 1270:2006 - Sprzęt boiskowy - Sprzęt do koszykówki / lub norma równorzędna (oraz konstrukcje z profili stalowych do wysięgu wspornikowego tablic - wg normy PN-EN 10219 lub wg normy równorzędnej);</w:t>
      </w:r>
    </w:p>
    <w:p>
      <w:pPr>
        <w:pStyle w:val="Normal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PN-EN 1271:2006 - Sprzęt boiskowy - Sprzęt do siatkówki / lub norma równorzędna;</w:t>
      </w:r>
    </w:p>
    <w:p>
      <w:pPr>
        <w:pStyle w:val="Normal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PN-EN 1509:2008 - Sprzęt boiskowy - Sprzęt do badmintona / lub norma równorzędna;</w:t>
      </w:r>
    </w:p>
    <w:p>
      <w:pPr>
        <w:pStyle w:val="Normal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PN-EN 12346:2001 - Sprzęt gimnastyczny - Drabinki przyścienne, drabinki kratowe i drabinki do wspinania się / lub norma równorzędna; </w:t>
      </w:r>
    </w:p>
    <w:p>
      <w:pPr>
        <w:pStyle w:val="Normal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PN-EN 15312+A1:2010 - Ogólnie dostępny sprzęt do uprawiania wielu dyscyplin sportowych / lub norma równorzędna;</w:t>
      </w:r>
    </w:p>
    <w:p>
      <w:pPr>
        <w:pStyle w:val="Normal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PN-EN 913+A1:2022-02 - Sprzęt gimnastyczny / lub norma równorzędna;</w:t>
      </w:r>
    </w:p>
    <w:p>
      <w:pPr>
        <w:pStyle w:val="Normal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PN-EN 17435:2022-05 - Nawierzchnie terenów sportowych / lub norma równorzędna;</w:t>
      </w:r>
    </w:p>
    <w:p>
      <w:pPr>
        <w:pStyle w:val="Normal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PN-EN 14904:2009 / DIN 18032 cz.2 - Nawierzchnie sportowe wewnętrzne / lub norma równorzędna;</w:t>
      </w:r>
    </w:p>
    <w:p>
      <w:pPr>
        <w:pStyle w:val="Normal"/>
        <w:spacing w:before="0" w:after="12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/>
          <w:color w:val="FF0000"/>
          <w:sz w:val="24"/>
          <w:szCs w:val="24"/>
          <w:shd w:fill="auto" w:val="clear"/>
        </w:rPr>
      </w:pPr>
      <w:r>
        <w:rPr/>
        <w:t>III UWAGI KOŃCOWE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FF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FF0000"/>
          <w:sz w:val="24"/>
          <w:szCs w:val="24"/>
          <w:shd w:fill="auto" w:val="clear"/>
        </w:rPr>
      </w:r>
    </w:p>
    <w:p>
      <w:pPr>
        <w:pStyle w:val="Header"/>
        <w:widowControl/>
        <w:numPr>
          <w:ilvl w:val="0"/>
          <w:numId w:val="0"/>
        </w:numPr>
        <w:tabs>
          <w:tab w:val="clear" w:pos="4536"/>
          <w:tab w:val="right" w:pos="9072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Wszystkie projektowane prace należy wykonywać stosując się do zasad określonych w „Warunkach technicznych wykonania i odbioru robót budowlano montażowych” , ITB , pod stałym nadzorem osoby upoważnionej przez inwestora do nadzorowania pracami budowlanymi oraz z zachowaniem stosownych przepisów BHP i p.poż. w zakresie wynikającym z prowadzonego rodzaju robót.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Stosowane materiały winny posiadać wymagane aktualne atesty, certyfikaty i aprobaty techniczne, upoważniające do stosowania w budownictwie, wydane przez właściwe jednostki aprobujące, zgodnie z Rozporządzeniem Ministra Gospodarki  Przestrzennej i Budownictwa w sprawie aprobat i kryteriów technicznych dotyczących wyrobów budowlanych.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Dopuszcza się w realizacji inwestycji zastosowanie innych materiałów, urządzeń i rozwiązań pod warunkiem zachowania ich równorzędności w stosunku do wskazanych w projekcie, i posiadających  nie gorsze parametry techniczne i właściwości. Przed wprowadzeniem zmian należy uzyskać akceptację Projektanta i Inwestora.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 xml:space="preserve">- Za jakiekolwiek zmiany dokonane bez Projektantów, Autorzy projektu nie ponoszą odpowiedzialności. 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 xml:space="preserve">- Przed przystąpieniem do prac wykonawca ma obowiązek sprawdzić w naturze wymiary przedmiotowych pomieszczeń i poszczególnych elementów. </w:t>
      </w:r>
      <w:r>
        <w:rPr>
          <w:rFonts w:cs="Arial" w:ascii="Arial" w:hAnsi="Arial"/>
          <w:b w:val="false"/>
          <w:bCs w:val="false"/>
          <w:sz w:val="24"/>
          <w:szCs w:val="24"/>
          <w:u w:val="single"/>
        </w:rPr>
        <w:t xml:space="preserve">Wskazane w projekcie obmiary, ilości poszczególnych materiałów, wszystkich elementów i powierzchni należy sprawdzić i powtórnie przeliczyć na miejscu inwestycji, dokonując pomiarów i obliczeń z uwzględnieniem nadwyżek i strat wykonawczych. 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W przypadku stwierdzenia w trakcie prowadzenia robót, innych elementów, lub innego stanu poszczególnych materiałów i struktur, uniemożliwiających  lub utrudniających prowadzenie prac w zakładany w dokumentacji sposób, należy zastosować rozwiązania zamienne po uzgodnieniu ich z Inwestorem i Projektantem.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 xml:space="preserve">- Szczególną uwagę należy zwrócić  przy robotach w obrębie posadzki i przed przystąpieniem do układania podbudowy dokonać analizy i oceny warstw gruntowych. Należy poprzez konsultację geotechniczną (geologiczną) potwierdzić zdatność odkrytej warstwy do bezpośredniego układania podbudowy i dalszych warstw posadzkowych. </w:t>
      </w:r>
      <w:r>
        <w:rPr>
          <w:rFonts w:cs="Arial" w:ascii="Arial" w:hAnsi="Arial"/>
          <w:b w:val="false"/>
          <w:bCs w:val="false"/>
          <w:sz w:val="24"/>
          <w:szCs w:val="24"/>
          <w:u w:val="single"/>
        </w:rPr>
        <w:t>W przypadku występowania gleby nieskonsolidowanej, słabo nośnej, czy o właściwościach organicznych, należy dokonać odpowiedniej wymiany gruntu na podstawie zaleceń geotechnicznych.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Opracowanie</w:t>
      </w:r>
    </w:p>
    <w:tbl>
      <w:tblPr>
        <w:tblW w:w="9056" w:type="dxa"/>
        <w:jc w:val="start"/>
        <w:tblInd w:w="55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6401"/>
        <w:gridCol w:w="2654"/>
      </w:tblGrid>
      <w:tr>
        <w:trPr/>
        <w:tc>
          <w:tcPr>
            <w:tcW w:w="6401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uppressAutoHyphens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  <w:u w:val="single"/>
              </w:rPr>
              <w:t>Projektant:</w:t>
            </w:r>
          </w:p>
          <w:p>
            <w:pPr>
              <w:pStyle w:val="Zawartotabeli"/>
              <w:suppressAutoHyphens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</w:rPr>
              <w:t>MGR INŻ. ARCH. HUBERT A. CIESIELSKI</w:t>
            </w:r>
          </w:p>
          <w:p>
            <w:pPr>
              <w:pStyle w:val="Zawartotabeli"/>
              <w:suppressAutoHyphens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</w:rPr>
              <w:t>upr. bud. w spec. architektonicznej nr 16/PDOKK/2014</w:t>
            </w:r>
          </w:p>
        </w:tc>
        <w:tc>
          <w:tcPr>
            <w:tcW w:w="2654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uppressAutoHyphens w:val="false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</w:rPr>
            </w:r>
          </w:p>
        </w:tc>
      </w:tr>
      <w:tr>
        <w:trPr/>
        <w:tc>
          <w:tcPr>
            <w:tcW w:w="640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uppressAutoHyphens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  <w:u w:val="single"/>
              </w:rPr>
              <w:t>Współpraca - opracowujący:</w:t>
            </w:r>
          </w:p>
          <w:p>
            <w:pPr>
              <w:pStyle w:val="Zawartotabeli"/>
              <w:suppressAutoHyphens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</w:rPr>
              <w:t>MGR INŻ. ARCH. ŁUKASZ WOJTYSIAK</w:t>
            </w:r>
          </w:p>
        </w:tc>
        <w:tc>
          <w:tcPr>
            <w:tcW w:w="2654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uppressAutoHyphens w:val="false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</w:rPr>
            </w:r>
          </w:p>
        </w:tc>
      </w:tr>
    </w:tbl>
    <w:p>
      <w:pPr>
        <w:pStyle w:val="Normal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none"/>
        </w:rPr>
      </w:pPr>
      <w:r>
        <w:rPr>
          <w:rFonts w:cs="Arial" w:ascii="Arial" w:hAnsi="Arial"/>
          <w:b/>
          <w:bCs/>
          <w:sz w:val="24"/>
          <w:szCs w:val="24"/>
          <w:u w:val="none"/>
        </w:rPr>
      </w:r>
    </w:p>
    <w:sectPr>
      <w:headerReference w:type="default" r:id="rId5"/>
      <w:headerReference w:type="first" r:id="rId6"/>
      <w:footerReference w:type="default" r:id="rId7"/>
      <w:footerReference w:type="first" r:id="rId8"/>
      <w:type w:val="nextPage"/>
      <w:pgSz w:w="11906" w:h="16838"/>
      <w:pgMar w:left="1814" w:right="907" w:gutter="0" w:header="567" w:top="2074" w:footer="567" w:bottom="845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 w:characterSet="windows-1252"/>
    <w:family w:val="roman"/>
    <w:pitch w:val="variable"/>
  </w:font>
  <w:font w:name="Symbol">
    <w:charset w:val="02"/>
    <w:family w:val="roman"/>
    <w:pitch w:val="variable"/>
  </w:font>
  <w:font w:name="Arial">
    <w:charset w:val="00" w:characterSet="windows-1252"/>
    <w:family w:val="swiss"/>
    <w:pitch w:val="variable"/>
  </w:font>
  <w:font w:name="Liberation Serif">
    <w:altName w:val="Times New Roman"/>
    <w:charset w:val="ee" w:characterSet="windows-1250"/>
    <w:family w:val="roman"/>
    <w:pitch w:val="variable"/>
  </w:font>
  <w:font w:name="Times New Roman">
    <w:charset w:val="ee" w:characterSet="windows-1250"/>
    <w:family w:val="roman"/>
    <w:pitch w:val="variable"/>
  </w:font>
  <w:font w:name="Arial">
    <w:charset w:val="ee" w:characterSet="windows-1250"/>
    <w:family w:val="roman"/>
    <w:pitch w:val="variable"/>
  </w:font>
  <w:font w:name="Symbol">
    <w:charset w:val="ee" w:characterSet="windows-1250"/>
    <w:family w:val="roman"/>
    <w:pitch w:val="variable"/>
  </w:font>
  <w:font w:name="Courier New">
    <w:charset w:val="ee" w:characterSet="windows-1250"/>
    <w:family w:val="roman"/>
    <w:pitch w:val="variable"/>
  </w:font>
  <w:font w:name="Wingdings">
    <w:charset w:val="ee" w:characterSet="windows-1250"/>
    <w:family w:val="roman"/>
    <w:pitch w:val="variable"/>
  </w:font>
  <w:font w:name="OpenSymbol">
    <w:altName w:val="Arial Unicode MS"/>
    <w:charset w:val="ee" w:characterSet="windows-1250"/>
    <w:family w:val="roman"/>
    <w:pitch w:val="variable"/>
  </w:font>
  <w:font w:name="Liberation Sans">
    <w:altName w:val="Arial"/>
    <w:charset w:val="ee" w:characterSet="windows-1250"/>
    <w:family w:val="roman"/>
    <w:pitch w:val="variable"/>
  </w:font>
  <w:font w:name="Calibri">
    <w:charset w:val="ee" w:characterSet="windows-1250"/>
    <w:family w:val="roman"/>
    <w:pitch w:val="variable"/>
  </w:font>
  <w:font w:name="Bahnschrift Light Condensed">
    <w:charset w:val="ee" w:characterSet="windows-1250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/>
    </w:pPr>
    <w:bookmarkStart w:id="0" w:name="PageNumWizard_FOOTER_Domyślny_styl_stron"/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22</w:t>
    </w:r>
    <w:r>
      <w:rPr/>
      <w:fldChar w:fldCharType="end"/>
    </w:r>
    <w:bookmarkEnd w:id="0"/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rFonts w:ascii="Bahnschrift Light Condensed" w:hAnsi="Bahnschrift Light Condensed" w:cs="Bahnschrift Light Condensed"/>
      </w:rPr>
    </w:pPr>
    <w:r>
      <w:rPr>
        <w:rFonts w:cs="Bahnschrift Light Condensed" w:ascii="Bahnschrift Light Condensed" w:hAnsi="Bahnschrift Light Condensed"/>
      </w:rPr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none"/>
      </w:rPr>
    </w:pPr>
    <w:r>
      <w:rPr>
        <w:rFonts w:cs="Bahnschrift Light Condensed" w:ascii="Bahnschrift Light Condensed" w:hAnsi="Bahnschrift Light Condensed"/>
        <w:b/>
        <w:bCs/>
        <w:i w:val="false"/>
        <w:iCs w:val="false"/>
        <w:color w:val="000000"/>
        <w:sz w:val="24"/>
        <w:szCs w:val="24"/>
        <w:u w:val="single"/>
      </w:rPr>
      <w:t>Dokumentacja realizowana w ramach projektu: „Modernizacja pracowni warsztatowych do potrzeb zdobycia kwalifikacji branżowych na nowoczesnym rynku pracy mechanizacji rolnictwa” (Budynek-B)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Wykonawca opracowania: 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 xml:space="preserve"> SPPH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 xml:space="preserve"> „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>FEST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>”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6"/>
        <w:szCs w:val="36"/>
        <w:u w:val="none"/>
      </w:rPr>
      <w:t xml:space="preserve">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 - ul. Baczyńskiego 31,  99-400  Łowicz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000000"/>
        <w:sz w:val="12"/>
        <w:szCs w:val="12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 xml:space="preserve">kontakt - mgr inż. arch. Łukasz Wojtysiak, tel:  606 632 999, e-mail: </w:t>
    </w:r>
    <w:hyperlink r:id="rId1">
      <w:r>
        <w:rPr>
          <w:rStyle w:val="Hyperlink"/>
          <w:rFonts w:cs="Bahnschrift Light Condensed" w:ascii="Bahnschrift Light Condensed" w:hAnsi="Bahnschrift Light Condensed"/>
          <w:b w:val="false"/>
          <w:bCs w:val="false"/>
          <w:i w:val="false"/>
          <w:iCs w:val="false"/>
          <w:color w:val="666666"/>
          <w:sz w:val="24"/>
          <w:szCs w:val="24"/>
          <w:u w:val="single"/>
        </w:rPr>
        <w:t>wokasz@wp.pl</w:t>
      </w:r>
    </w:hyperlink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 xml:space="preserve"> 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000000"/>
        <w:sz w:val="12"/>
        <w:szCs w:val="12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000000"/>
        <w:sz w:val="12"/>
        <w:szCs w:val="12"/>
        <w:u w:val="single"/>
      </w:rPr>
      <w:t>______________________________________________________________________________________________________________________________________________________________________________________________________________________________________</w:t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none"/>
      </w:rPr>
    </w:pPr>
    <w:r>
      <w:rPr>
        <w:rFonts w:cs="Bahnschrift Light Condensed" w:ascii="Bahnschrift Light Condensed" w:hAnsi="Bahnschrift Light Condensed"/>
        <w:b/>
        <w:bCs/>
        <w:i w:val="false"/>
        <w:iCs w:val="false"/>
        <w:color w:val="000000"/>
        <w:sz w:val="24"/>
        <w:szCs w:val="24"/>
        <w:u w:val="single"/>
      </w:rPr>
      <w:t>Dokumentacja realizowana w ramach projektu: „Modernizacja pracowni warsztatowych do potrzeb zdobycia kwalifikacji branżowych na nowoczesnym rynku pracy mechanizacji rolnictwa” (Budynek-B)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Wykonawca opracowania: 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 xml:space="preserve"> SPPH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 xml:space="preserve"> „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>FEST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>”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6"/>
        <w:szCs w:val="36"/>
        <w:u w:val="none"/>
      </w:rPr>
      <w:t xml:space="preserve">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 - ul. Baczyńskiego 31,  99-400  Łowicz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>kontakt - mgr inż. arch. Łukasz Wojtysiak, tel:  606 632 999, e-mail: wokasz@wp.pl</w:t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</w:abstractNum>
  <w:abstractNum w:abstractNumId="2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13"/>
  <w:displayBackgroundShape/>
  <w:defaultTabStop w:val="708"/>
  <w:autoHyphenation w:val="true"/>
  <w:compat>
    <w:doNotBreakWrappedTables/>
    <w:compatSetting w:name="compatibilityMode" w:uri="http://schemas.microsoft.com/office/word" w:val="11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Arial"/>
        <w:sz w:val="24"/>
        <w:szCs w:val="24"/>
        <w:lang w:val="pl-PL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bidi w:val="0"/>
      <w:spacing w:before="0" w:after="0"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zh-CN" w:bidi="ar-SA"/>
    </w:rPr>
  </w:style>
  <w:style w:type="paragraph" w:styleId="Heading1">
    <w:name w:val="Heading 1"/>
    <w:basedOn w:val="Normal"/>
    <w:next w:val="Normal"/>
    <w:qFormat/>
    <w:pPr>
      <w:keepNext w:val="true"/>
      <w:numPr>
        <w:ilvl w:val="0"/>
        <w:numId w:val="1"/>
      </w:numPr>
      <w:jc w:val="center"/>
      <w:outlineLvl w:val="0"/>
    </w:pPr>
    <w:rPr>
      <w:b/>
      <w:bCs/>
      <w:caps/>
      <w:sz w:val="28"/>
      <w:u w:val="single"/>
    </w:rPr>
  </w:style>
  <w:style w:type="paragraph" w:styleId="Heading2">
    <w:name w:val="Heading 2"/>
    <w:basedOn w:val="Normal"/>
    <w:next w:val="Normal"/>
    <w:qFormat/>
    <w:pPr>
      <w:keepNext w:val="true"/>
      <w:numPr>
        <w:ilvl w:val="1"/>
        <w:numId w:val="1"/>
      </w:numPr>
      <w:suppressAutoHyphens w:val="false"/>
      <w:jc w:val="start"/>
      <w:outlineLvl w:val="1"/>
    </w:pPr>
    <w:rPr>
      <w:rFonts w:ascii="Arial" w:hAnsi="Arial"/>
      <w:b/>
      <w:sz w:val="24"/>
      <w:szCs w:val="20"/>
      <w:u w:val="single"/>
    </w:rPr>
  </w:style>
  <w:style w:type="paragraph" w:styleId="Heading3">
    <w:name w:val="Heading 3"/>
    <w:basedOn w:val="Normal"/>
    <w:next w:val="Normal"/>
    <w:qFormat/>
    <w:pPr>
      <w:keepNext w:val="true"/>
      <w:numPr>
        <w:ilvl w:val="2"/>
        <w:numId w:val="1"/>
      </w:numPr>
      <w:outlineLvl w:val="2"/>
    </w:pPr>
    <w:rPr>
      <w:sz w:val="28"/>
    </w:rPr>
  </w:style>
  <w:style w:type="paragraph" w:styleId="Heading4">
    <w:name w:val="Heading 4"/>
    <w:basedOn w:val="Normal"/>
    <w:next w:val="Normal"/>
    <w:qFormat/>
    <w:pPr>
      <w:keepNext w:val="true"/>
      <w:numPr>
        <w:ilvl w:val="3"/>
        <w:numId w:val="1"/>
      </w:numPr>
      <w:shd w:val="clear" w:fill="FFFFFF"/>
      <w:tabs>
        <w:tab w:val="clear" w:pos="708"/>
        <w:tab w:val="left" w:pos="0" w:leader="none"/>
      </w:tabs>
      <w:ind w:hanging="0" w:start="0" w:end="72"/>
      <w:jc w:val="both"/>
      <w:outlineLvl w:val="3"/>
    </w:pPr>
    <w:rPr>
      <w:rFonts w:ascii="Arial" w:hAnsi="Arial" w:cs="Arial"/>
      <w:b/>
      <w:bCs/>
    </w:rPr>
  </w:style>
  <w:style w:type="paragraph" w:styleId="Heading5">
    <w:name w:val="Heading 5"/>
    <w:basedOn w:val="Normal"/>
    <w:next w:val="Normal"/>
    <w:qFormat/>
    <w:pPr>
      <w:keepNext w:val="true"/>
      <w:numPr>
        <w:ilvl w:val="4"/>
        <w:numId w:val="1"/>
      </w:numPr>
      <w:jc w:val="center"/>
      <w:outlineLvl w:val="4"/>
    </w:pPr>
    <w:rPr>
      <w:szCs w:val="20"/>
    </w:rPr>
  </w:style>
  <w:style w:type="paragraph" w:styleId="Heading6">
    <w:name w:val="Heading 6"/>
    <w:basedOn w:val="Normal"/>
    <w:next w:val="Normal"/>
    <w:qFormat/>
    <w:pPr>
      <w:keepNext w:val="true"/>
      <w:numPr>
        <w:ilvl w:val="5"/>
        <w:numId w:val="1"/>
      </w:numPr>
      <w:shd w:val="clear" w:fill="FFFFFF"/>
      <w:ind w:hanging="0" w:start="1123" w:end="0"/>
      <w:jc w:val="both"/>
      <w:outlineLvl w:val="5"/>
    </w:pPr>
    <w:rPr>
      <w:b/>
      <w:bCs/>
      <w:sz w:val="32"/>
    </w:rPr>
  </w:style>
  <w:style w:type="paragraph" w:styleId="Heading7">
    <w:name w:val="Heading 7"/>
    <w:basedOn w:val="Normal"/>
    <w:next w:val="Normal"/>
    <w:qFormat/>
    <w:pPr>
      <w:keepNext w:val="true"/>
      <w:numPr>
        <w:ilvl w:val="6"/>
        <w:numId w:val="1"/>
      </w:numPr>
      <w:outlineLvl w:val="6"/>
    </w:pPr>
    <w:rPr>
      <w:rFonts w:ascii="Arial" w:hAnsi="Arial" w:cs="Arial"/>
      <w:b/>
      <w:bCs/>
      <w:i/>
      <w:iCs/>
      <w:u w:val="single"/>
    </w:rPr>
  </w:style>
  <w:style w:type="paragraph" w:styleId="Heading8">
    <w:name w:val="Heading 8"/>
    <w:basedOn w:val="Normal"/>
    <w:next w:val="Normal"/>
    <w:qFormat/>
    <w:pPr>
      <w:keepNext w:val="true"/>
      <w:numPr>
        <w:ilvl w:val="7"/>
        <w:numId w:val="1"/>
      </w:numPr>
      <w:jc w:val="both"/>
      <w:outlineLvl w:val="7"/>
    </w:pPr>
    <w:rPr>
      <w:rFonts w:ascii="Arial" w:hAnsi="Arial" w:cs="Arial"/>
      <w:b/>
      <w:bCs/>
      <w:i/>
      <w:iCs/>
    </w:rPr>
  </w:style>
  <w:style w:type="paragraph" w:styleId="Heading9">
    <w:name w:val="Heading 9"/>
    <w:basedOn w:val="Normal"/>
    <w:next w:val="Normal"/>
    <w:qFormat/>
    <w:pPr>
      <w:keepNext w:val="true"/>
      <w:numPr>
        <w:ilvl w:val="8"/>
        <w:numId w:val="1"/>
      </w:numPr>
      <w:jc w:val="both"/>
      <w:outlineLvl w:val="8"/>
    </w:pPr>
    <w:rPr>
      <w:rFonts w:ascii="Arial" w:hAnsi="Arial" w:cs="Arial"/>
      <w:i/>
      <w:iCs/>
      <w:sz w:val="28"/>
      <w:lang w:val="de-DE"/>
    </w:rPr>
  </w:style>
  <w:style w:type="character" w:styleId="WW8Num2z0">
    <w:name w:val="WW8Num2z0"/>
    <w:qFormat/>
    <w:rPr>
      <w:rFonts w:ascii="Symbol" w:hAnsi="Symbol" w:cs="Times New Roman"/>
    </w:rPr>
  </w:style>
  <w:style w:type="character" w:styleId="WW8Num2z1">
    <w:name w:val="WW8Num2z1"/>
    <w:qFormat/>
    <w:rPr>
      <w:rFonts w:ascii="Courier New" w:hAnsi="Courier New" w:cs="OpenSymbol;Arial Unicode MS"/>
    </w:rPr>
  </w:style>
  <w:style w:type="character" w:styleId="WW8Num2z2">
    <w:name w:val="WW8Num2z2"/>
    <w:qFormat/>
    <w:rPr>
      <w:rFonts w:ascii="Wingdings" w:hAnsi="Wingdings" w:cs="Wingdings"/>
    </w:rPr>
  </w:style>
  <w:style w:type="character" w:styleId="WW8Num3z0">
    <w:name w:val="WW8Num3z0"/>
    <w:qFormat/>
    <w:rPr>
      <w:rFonts w:ascii="Symbol" w:hAnsi="Symbol" w:cs="OpenSymbol;Arial Unicode MS"/>
    </w:rPr>
  </w:style>
  <w:style w:type="character" w:styleId="WW8Num3z1">
    <w:name w:val="WW8Num3z1"/>
    <w:qFormat/>
    <w:rPr>
      <w:rFonts w:ascii="Courier New" w:hAnsi="Courier New" w:cs="OpenSymbol;Arial Unicode MS"/>
    </w:rPr>
  </w:style>
  <w:style w:type="character" w:styleId="WW8Num3z2">
    <w:name w:val="WW8Num3z2"/>
    <w:qFormat/>
    <w:rPr>
      <w:rFonts w:ascii="Wingdings" w:hAnsi="Wingdings" w:cs="Wingdings"/>
    </w:rPr>
  </w:style>
  <w:style w:type="character" w:styleId="WW8Num4z0">
    <w:name w:val="WW8Num4z0"/>
    <w:qFormat/>
    <w:rPr>
      <w:rFonts w:ascii="Symbol" w:hAnsi="Symbol" w:cs="OpenSymbol;Arial Unicode MS"/>
    </w:rPr>
  </w:style>
  <w:style w:type="character" w:styleId="WW8Num4z1">
    <w:name w:val="WW8Num4z1"/>
    <w:qFormat/>
    <w:rPr>
      <w:rFonts w:ascii="OpenSymbol;Arial Unicode MS" w:hAnsi="OpenSymbol;Arial Unicode MS" w:cs="OpenSymbol;Arial Unicode MS"/>
    </w:rPr>
  </w:style>
  <w:style w:type="character" w:styleId="WW8Num5z0">
    <w:name w:val="WW8Num5z0"/>
    <w:qFormat/>
    <w:rPr>
      <w:rFonts w:ascii="Symbol" w:hAnsi="Symbol" w:cs="OpenSymbol;Arial Unicode MS"/>
    </w:rPr>
  </w:style>
  <w:style w:type="character" w:styleId="WW8Num5z1">
    <w:name w:val="WW8Num5z1"/>
    <w:qFormat/>
    <w:rPr>
      <w:rFonts w:ascii="OpenSymbol;Arial Unicode MS" w:hAnsi="OpenSymbol;Arial Unicode MS" w:cs="OpenSymbol;Arial Unicode MS"/>
    </w:rPr>
  </w:style>
  <w:style w:type="character" w:styleId="WW8Num6z0">
    <w:name w:val="WW8Num6z0"/>
    <w:qFormat/>
    <w:rPr>
      <w:rFonts w:ascii="Symbol" w:hAnsi="Symbol" w:cs="OpenSymbol;Arial Unicode MS"/>
    </w:rPr>
  </w:style>
  <w:style w:type="character" w:styleId="WW8Num6z1">
    <w:name w:val="WW8Num6z1"/>
    <w:qFormat/>
    <w:rPr>
      <w:rFonts w:ascii="OpenSymbol;Arial Unicode MS" w:hAnsi="OpenSymbol;Arial Unicode MS" w:cs="OpenSymbol;Arial Unicode MS"/>
    </w:rPr>
  </w:style>
  <w:style w:type="character" w:styleId="WW8Num8z0">
    <w:name w:val="WW8Num8z0"/>
    <w:qFormat/>
    <w:rPr>
      <w:rFonts w:ascii="Symbol" w:hAnsi="Symbol" w:cs="OpenSymbol;Arial Unicode MS"/>
    </w:rPr>
  </w:style>
  <w:style w:type="character" w:styleId="WW8Num8z1">
    <w:name w:val="WW8Num8z1"/>
    <w:qFormat/>
    <w:rPr>
      <w:rFonts w:ascii="OpenSymbol;Arial Unicode MS" w:hAnsi="OpenSymbol;Arial Unicode MS" w:cs="OpenSymbol;Arial Unicode MS"/>
    </w:rPr>
  </w:style>
  <w:style w:type="character" w:styleId="WW8Num7z0">
    <w:name w:val="WW8Num7z0"/>
    <w:qFormat/>
    <w:rPr>
      <w:rFonts w:ascii="Symbol" w:hAnsi="Symbol" w:cs="OpenSymbol;Arial Unicode MS"/>
    </w:rPr>
  </w:style>
  <w:style w:type="character" w:styleId="WW8Num7z1">
    <w:name w:val="WW8Num7z1"/>
    <w:qFormat/>
    <w:rPr>
      <w:rFonts w:ascii="OpenSymbol;Arial Unicode MS" w:hAnsi="OpenSymbol;Arial Unicode MS" w:cs="OpenSymbol;Arial Unicode MS"/>
    </w:rPr>
  </w:style>
  <w:style w:type="character" w:styleId="WW8Num1z0">
    <w:name w:val="WW8Num1z0"/>
    <w:qFormat/>
    <w:rPr>
      <w:rFonts w:ascii="Times New Roman" w:hAnsi="Times New Roman" w:cs="Times New Roman"/>
    </w:rPr>
  </w:style>
  <w:style w:type="character" w:styleId="WW8Num7z2">
    <w:name w:val="WW8Num7z2"/>
    <w:qFormat/>
    <w:rPr>
      <w:rFonts w:ascii="Wingdings" w:hAnsi="Wingdings" w:cs="Wingdings"/>
    </w:rPr>
  </w:style>
  <w:style w:type="character" w:styleId="WW8Num7z3">
    <w:name w:val="WW8Num7z3"/>
    <w:qFormat/>
    <w:rPr>
      <w:rFonts w:ascii="Symbol" w:hAnsi="Symbol" w:cs="Symbol"/>
    </w:rPr>
  </w:style>
  <w:style w:type="character" w:styleId="WW8Num9z0">
    <w:name w:val="WW8Num9z0"/>
    <w:qFormat/>
    <w:rPr>
      <w:rFonts w:ascii="Wingdings" w:hAnsi="Wingdings" w:cs="Wingdings"/>
    </w:rPr>
  </w:style>
  <w:style w:type="character" w:styleId="WW8Num9z1">
    <w:name w:val="WW8Num9z1"/>
    <w:qFormat/>
    <w:rPr>
      <w:rFonts w:ascii="Courier New" w:hAnsi="Courier New" w:cs="Courier New"/>
    </w:rPr>
  </w:style>
  <w:style w:type="character" w:styleId="WW8Num9z3">
    <w:name w:val="WW8Num9z3"/>
    <w:qFormat/>
    <w:rPr>
      <w:rFonts w:ascii="Symbol" w:hAnsi="Symbol" w:cs="Symbol"/>
    </w:rPr>
  </w:style>
  <w:style w:type="character" w:styleId="WW8Num10z0">
    <w:name w:val="WW8Num10z0"/>
    <w:qFormat/>
    <w:rPr>
      <w:rFonts w:ascii="Symbol" w:hAnsi="Symbol" w:cs="Symbol"/>
    </w:rPr>
  </w:style>
  <w:style w:type="character" w:styleId="WW8Num10z1">
    <w:name w:val="WW8Num10z1"/>
    <w:qFormat/>
    <w:rPr>
      <w:rFonts w:ascii="Courier New" w:hAnsi="Courier New" w:cs="Courier New"/>
    </w:rPr>
  </w:style>
  <w:style w:type="character" w:styleId="WW8Num10z2">
    <w:name w:val="WW8Num10z2"/>
    <w:qFormat/>
    <w:rPr>
      <w:rFonts w:ascii="Wingdings" w:hAnsi="Wingdings" w:cs="Wingdings"/>
    </w:rPr>
  </w:style>
  <w:style w:type="character" w:styleId="WW8Num11z0">
    <w:name w:val="WW8Num11z0"/>
    <w:qFormat/>
    <w:rPr/>
  </w:style>
  <w:style w:type="character" w:styleId="WW8Num12z0">
    <w:name w:val="WW8Num12z0"/>
    <w:qFormat/>
    <w:rPr>
      <w:b/>
    </w:rPr>
  </w:style>
  <w:style w:type="character" w:styleId="WW8Num13z0">
    <w:name w:val="WW8Num13z0"/>
    <w:qFormat/>
    <w:rPr/>
  </w:style>
  <w:style w:type="character" w:styleId="WW8Num14z0">
    <w:name w:val="WW8Num14z0"/>
    <w:qFormat/>
    <w:rPr/>
  </w:style>
  <w:style w:type="character" w:styleId="WW8Num15z0">
    <w:name w:val="WW8Num15z0"/>
    <w:qFormat/>
    <w:rPr/>
  </w:style>
  <w:style w:type="character" w:styleId="WW8Num16z0">
    <w:name w:val="WW8Num16z0"/>
    <w:qFormat/>
    <w:rPr/>
  </w:style>
  <w:style w:type="character" w:styleId="WW8Num17z0">
    <w:name w:val="WW8Num17z0"/>
    <w:qFormat/>
    <w:rPr>
      <w:rFonts w:ascii="Symbol" w:hAnsi="Symbol" w:cs="Symbol"/>
    </w:rPr>
  </w:style>
  <w:style w:type="character" w:styleId="WW8Num17z1">
    <w:name w:val="WW8Num17z1"/>
    <w:qFormat/>
    <w:rPr>
      <w:rFonts w:ascii="Courier New" w:hAnsi="Courier New" w:cs="Courier New"/>
    </w:rPr>
  </w:style>
  <w:style w:type="character" w:styleId="WW8Num17z2">
    <w:name w:val="WW8Num17z2"/>
    <w:qFormat/>
    <w:rPr>
      <w:rFonts w:ascii="Wingdings" w:hAnsi="Wingdings" w:cs="Wingdings"/>
    </w:rPr>
  </w:style>
  <w:style w:type="character" w:styleId="WW8Num18z0">
    <w:name w:val="WW8Num18z0"/>
    <w:qFormat/>
    <w:rPr/>
  </w:style>
  <w:style w:type="character" w:styleId="WW8Num19z0">
    <w:name w:val="WW8Num19z0"/>
    <w:qFormat/>
    <w:rPr/>
  </w:style>
  <w:style w:type="character" w:styleId="WW8Num20z0">
    <w:name w:val="WW8Num20z0"/>
    <w:qFormat/>
    <w:rPr/>
  </w:style>
  <w:style w:type="character" w:styleId="WW8Num21z0">
    <w:name w:val="WW8Num21z0"/>
    <w:qFormat/>
    <w:rPr>
      <w:rFonts w:ascii="Arial" w:hAnsi="Arial" w:eastAsia="Arial" w:cs="Arial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2"/>
      <w:sz w:val="22"/>
      <w:szCs w:val="22"/>
      <w:u w:val="none"/>
      <w:vertAlign w:val="baseline"/>
      <w:lang w:val="pl-PL" w:bidi="pl-PL"/>
    </w:rPr>
  </w:style>
  <w:style w:type="character" w:styleId="WW8Num22z0">
    <w:name w:val="WW8Num22z0"/>
    <w:qFormat/>
    <w:rPr/>
  </w:style>
  <w:style w:type="character" w:styleId="WW8Num23z0">
    <w:name w:val="WW8Num23z0"/>
    <w:qFormat/>
    <w:rPr>
      <w:rFonts w:ascii="Arial" w:hAnsi="Arial" w:eastAsia="Times New Roman" w:cs="Arial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2"/>
      <w:sz w:val="22"/>
      <w:szCs w:val="22"/>
      <w:u w:val="none"/>
      <w:vertAlign w:val="baseline"/>
      <w:lang w:val="pl-PL" w:bidi="pl-PL"/>
    </w:rPr>
  </w:style>
  <w:style w:type="character" w:styleId="WW8Num24z0">
    <w:name w:val="WW8Num24z0"/>
    <w:qFormat/>
    <w:rPr/>
  </w:style>
  <w:style w:type="character" w:styleId="WW8Num25z0">
    <w:name w:val="WW8Num25z0"/>
    <w:qFormat/>
    <w:rPr/>
  </w:style>
  <w:style w:type="character" w:styleId="WW8Num26z0">
    <w:name w:val="WW8Num26z0"/>
    <w:qFormat/>
    <w:rPr/>
  </w:style>
  <w:style w:type="character" w:styleId="WW8Num27z0">
    <w:name w:val="WW8Num27z0"/>
    <w:qFormat/>
    <w:rPr/>
  </w:style>
  <w:style w:type="character" w:styleId="WW8Num27z1">
    <w:name w:val="WW8Num27z1"/>
    <w:qFormat/>
    <w:rPr>
      <w:rFonts w:ascii="Wingdings" w:hAnsi="Wingdings" w:cs="Wingdings"/>
    </w:rPr>
  </w:style>
  <w:style w:type="character" w:styleId="WW8Num28z0">
    <w:name w:val="WW8Num28z0"/>
    <w:qFormat/>
    <w:rPr/>
  </w:style>
  <w:style w:type="character" w:styleId="WW8Num29z0">
    <w:name w:val="WW8Num29z0"/>
    <w:qFormat/>
    <w:rPr/>
  </w:style>
  <w:style w:type="character" w:styleId="WW8Num30z0">
    <w:name w:val="WW8Num30z0"/>
    <w:qFormat/>
    <w:rPr>
      <w:rFonts w:ascii="Symbol" w:hAnsi="Symbol" w:cs="Symbol"/>
      <w:b/>
      <w:i w:val="false"/>
    </w:rPr>
  </w:style>
  <w:style w:type="character" w:styleId="WW8Num30z1">
    <w:name w:val="WW8Num30z1"/>
    <w:qFormat/>
    <w:rPr>
      <w:rFonts w:ascii="Courier New" w:hAnsi="Courier New" w:cs="Courier New"/>
    </w:rPr>
  </w:style>
  <w:style w:type="character" w:styleId="WW8Num30z2">
    <w:name w:val="WW8Num30z2"/>
    <w:qFormat/>
    <w:rPr>
      <w:rFonts w:ascii="Wingdings" w:hAnsi="Wingdings" w:cs="Wingdings"/>
    </w:rPr>
  </w:style>
  <w:style w:type="character" w:styleId="WW8Num30z3">
    <w:name w:val="WW8Num30z3"/>
    <w:qFormat/>
    <w:rPr>
      <w:rFonts w:ascii="Symbol" w:hAnsi="Symbol" w:cs="Symbol"/>
    </w:rPr>
  </w:style>
  <w:style w:type="character" w:styleId="WW8Num31z0">
    <w:name w:val="WW8Num31z0"/>
    <w:qFormat/>
    <w:rPr>
      <w:rFonts w:ascii="Symbol" w:hAnsi="Symbol" w:cs="Symbol"/>
    </w:rPr>
  </w:style>
  <w:style w:type="character" w:styleId="WW8Num31z1">
    <w:name w:val="WW8Num31z1"/>
    <w:qFormat/>
    <w:rPr>
      <w:rFonts w:ascii="Courier New" w:hAnsi="Courier New" w:cs="Courier New"/>
    </w:rPr>
  </w:style>
  <w:style w:type="character" w:styleId="WW8Num31z2">
    <w:name w:val="WW8Num31z2"/>
    <w:qFormat/>
    <w:rPr>
      <w:rFonts w:ascii="Wingdings" w:hAnsi="Wingdings" w:cs="Wingdings"/>
    </w:rPr>
  </w:style>
  <w:style w:type="character" w:styleId="WW8Num32z0">
    <w:name w:val="WW8Num32z0"/>
    <w:qFormat/>
    <w:rPr>
      <w:color w:val="000000"/>
    </w:rPr>
  </w:style>
  <w:style w:type="character" w:styleId="WW8Num33z0">
    <w:name w:val="WW8Num33z0"/>
    <w:qFormat/>
    <w:rPr/>
  </w:style>
  <w:style w:type="character" w:styleId="WW8Num34z0">
    <w:name w:val="WW8Num34z0"/>
    <w:qFormat/>
    <w:rPr/>
  </w:style>
  <w:style w:type="character" w:styleId="WW8Num35z0">
    <w:name w:val="WW8Num35z0"/>
    <w:qFormat/>
    <w:rPr/>
  </w:style>
  <w:style w:type="character" w:styleId="WW8Num36z0">
    <w:name w:val="WW8Num36z0"/>
    <w:qFormat/>
    <w:rPr>
      <w:rFonts w:ascii="Arial" w:hAnsi="Arial" w:eastAsia="Times New Roman" w:cs="Arial"/>
    </w:rPr>
  </w:style>
  <w:style w:type="character" w:styleId="WW8Num37z0">
    <w:name w:val="WW8Num37z0"/>
    <w:qFormat/>
    <w:rPr/>
  </w:style>
  <w:style w:type="character" w:styleId="WW8Num38z0">
    <w:name w:val="WW8Num38z0"/>
    <w:qFormat/>
    <w:rPr>
      <w:b/>
      <w:i w:val="false"/>
    </w:rPr>
  </w:style>
  <w:style w:type="character" w:styleId="WW8Num38z1">
    <w:name w:val="WW8Num38z1"/>
    <w:qFormat/>
    <w:rPr>
      <w:rFonts w:ascii="Symbol" w:hAnsi="Symbol" w:cs="Symbol"/>
      <w:b/>
      <w:i w:val="false"/>
    </w:rPr>
  </w:style>
  <w:style w:type="character" w:styleId="WW8Num38z2">
    <w:name w:val="WW8Num38z2"/>
    <w:qFormat/>
    <w:rPr/>
  </w:style>
  <w:style w:type="character" w:styleId="WW8Num39z0">
    <w:name w:val="WW8Num39z0"/>
    <w:qFormat/>
    <w:rPr>
      <w:rFonts w:ascii="Symbol" w:hAnsi="Symbol" w:cs="Symbol"/>
    </w:rPr>
  </w:style>
  <w:style w:type="character" w:styleId="WW8Num39z1">
    <w:name w:val="WW8Num39z1"/>
    <w:qFormat/>
    <w:rPr>
      <w:rFonts w:ascii="Courier New" w:hAnsi="Courier New" w:cs="Courier New"/>
    </w:rPr>
  </w:style>
  <w:style w:type="character" w:styleId="WW8Num39z2">
    <w:name w:val="WW8Num39z2"/>
    <w:qFormat/>
    <w:rPr>
      <w:rFonts w:ascii="Wingdings" w:hAnsi="Wingdings" w:cs="Wingdings"/>
    </w:rPr>
  </w:style>
  <w:style w:type="character" w:styleId="Domylnaczcionkaakapitu">
    <w:name w:val="Domyślna czcionka akapitu"/>
    <w:qFormat/>
    <w:rPr/>
  </w:style>
  <w:style w:type="character" w:styleId="NagwekZnak">
    <w:name w:val="Nagłówek Znak"/>
    <w:qFormat/>
    <w:rPr>
      <w:sz w:val="24"/>
      <w:szCs w:val="24"/>
    </w:rPr>
  </w:style>
  <w:style w:type="character" w:styleId="Znakiwypunktowania">
    <w:name w:val="Znaki wypunktowania"/>
    <w:qFormat/>
    <w:rPr>
      <w:rFonts w:ascii="OpenSymbol;Arial Unicode MS" w:hAnsi="OpenSymbol;Arial Unicode MS" w:eastAsia="OpenSymbol;Arial Unicode MS" w:cs="OpenSymbol;Arial Unicode MS"/>
    </w:rPr>
  </w:style>
  <w:style w:type="character" w:styleId="Znakinumeracji">
    <w:name w:val="Znaki numeracji"/>
    <w:qFormat/>
    <w:rPr/>
  </w:style>
  <w:style w:type="character" w:styleId="Hyperlink">
    <w:name w:val="Hyperlink"/>
    <w:rPr>
      <w:color w:val="000080"/>
      <w:u w:val="single"/>
    </w:rPr>
  </w:style>
  <w:style w:type="character" w:styleId="WW8Num5z2">
    <w:name w:val="WW8Num5z2"/>
    <w:qFormat/>
    <w:rPr>
      <w:rFonts w:ascii="Wingdings" w:hAnsi="Wingdings" w:cs="Wingdings"/>
    </w:rPr>
  </w:style>
  <w:style w:type="character" w:styleId="WW8Num6z2">
    <w:name w:val="WW8Num6z2"/>
    <w:qFormat/>
    <w:rPr>
      <w:rFonts w:ascii="Wingdings" w:hAnsi="Wingdings" w:cs="Wingdings"/>
    </w:rPr>
  </w:style>
  <w:style w:type="character" w:styleId="WW8Num18z1">
    <w:name w:val="WW8Num18z1"/>
    <w:qFormat/>
    <w:rPr>
      <w:rFonts w:ascii="Courier New" w:hAnsi="Courier New" w:cs="Courier New"/>
    </w:rPr>
  </w:style>
  <w:style w:type="character" w:styleId="WW8Num18z2">
    <w:name w:val="WW8Num18z2"/>
    <w:qFormat/>
    <w:rPr>
      <w:rFonts w:ascii="Wingdings" w:hAnsi="Wingdings" w:cs="Wingdings"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;Arial" w:hAnsi="Liberation Sans;Arial" w:eastAsia="Microsoft YaHei" w:cs="Arial"/>
      <w:sz w:val="28"/>
      <w:szCs w:val="28"/>
    </w:rPr>
  </w:style>
  <w:style w:type="paragraph" w:styleId="BodyText">
    <w:name w:val="Body Text"/>
    <w:basedOn w:val="Normal"/>
    <w:pPr>
      <w:suppressAutoHyphens w:val="true"/>
    </w:pPr>
    <w:rPr>
      <w:rFonts w:ascii="Arial" w:hAnsi="Arial" w:cs="Arial"/>
      <w:szCs w:val="20"/>
    </w:rPr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Arial"/>
    </w:rPr>
  </w:style>
  <w:style w:type="paragraph" w:styleId="Caption1">
    <w:name w:val="Caption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">
    <w:name w:val="Caption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">
    <w:name w:val="Caption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">
    <w:name w:val="Caption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">
    <w:name w:val="Caption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">
    <w:name w:val="Caption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">
    <w:name w:val="Caption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">
    <w:name w:val="Caption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">
    <w:name w:val="Caption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">
    <w:name w:val="Caption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">
    <w:name w:val="Caption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">
    <w:name w:val="Caption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">
    <w:name w:val="Caption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">
    <w:name w:val="Caption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">
    <w:name w:val="Caption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">
    <w:name w:val="Caption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">
    <w:name w:val="Caption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">
    <w:name w:val="Caption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">
    <w:name w:val="Caption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">
    <w:name w:val="Caption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">
    <w:name w:val="Caption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">
    <w:name w:val="Caption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">
    <w:name w:val="Caption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">
    <w:name w:val="Caption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">
    <w:name w:val="Caption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">
    <w:name w:val="Caption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">
    <w:name w:val="Caption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">
    <w:name w:val="Caption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">
    <w:name w:val="Caption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">
    <w:name w:val="Caption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">
    <w:name w:val="Caption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">
    <w:name w:val="Caption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">
    <w:name w:val="Caption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">
    <w:name w:val="Caption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">
    <w:name w:val="Caption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">
    <w:name w:val="Caption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">
    <w:name w:val="Caption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">
    <w:name w:val="Caption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">
    <w:name w:val="Caption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">
    <w:name w:val="Caption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">
    <w:name w:val="Caption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">
    <w:name w:val="Caption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">
    <w:name w:val="Caption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">
    <w:name w:val="Caption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">
    <w:name w:val="Caption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">
    <w:name w:val="Caption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">
    <w:name w:val="Caption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">
    <w:name w:val="Caption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">
    <w:name w:val="Caption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">
    <w:name w:val="Caption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">
    <w:name w:val="Caption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">
    <w:name w:val="Caption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">
    <w:name w:val="Caption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">
    <w:name w:val="Caption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">
    <w:name w:val="Caption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">
    <w:name w:val="Caption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">
    <w:name w:val="Caption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">
    <w:name w:val="Caption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">
    <w:name w:val="Caption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">
    <w:name w:val="Caption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">
    <w:name w:val="Caption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">
    <w:name w:val="Caption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">
    <w:name w:val="Caption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">
    <w:name w:val="Caption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">
    <w:name w:val="Caption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">
    <w:name w:val="Caption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">
    <w:name w:val="Caption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">
    <w:name w:val="Caption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">
    <w:name w:val="Caption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">
    <w:name w:val="Caption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">
    <w:name w:val="Caption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">
    <w:name w:val="Caption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1">
    <w:name w:val="Caption1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11">
    <w:name w:val="Caption11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111">
    <w:name w:val="Caption111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1111">
    <w:name w:val="Caption1111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11111">
    <w:name w:val="Caption11111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Gwkaistopka">
    <w:name w:val="Główka i stopka"/>
    <w:basedOn w:val="Normal"/>
    <w:qFormat/>
    <w:pPr>
      <w:suppressLineNumbers/>
      <w:tabs>
        <w:tab w:val="clear" w:pos="708"/>
        <w:tab w:val="center" w:pos="4819" w:leader="none"/>
        <w:tab w:val="right" w:pos="9638" w:leader="none"/>
      </w:tabs>
    </w:pPr>
    <w:rPr/>
  </w:style>
  <w:style w:type="paragraph" w:styleId="Header">
    <w:name w:val="Header"/>
    <w:basedOn w:val="Normal"/>
    <w:pPr>
      <w:tabs>
        <w:tab w:val="clear" w:pos="708"/>
        <w:tab w:val="center" w:pos="4536" w:leader="none"/>
        <w:tab w:val="right" w:pos="9072" w:leader="none"/>
      </w:tabs>
    </w:pPr>
    <w:rPr>
      <w:lang w:val="pl-PL"/>
    </w:rPr>
  </w:style>
  <w:style w:type="paragraph" w:styleId="Tekstpodstawowy2">
    <w:name w:val="Tekst podstawowy 2"/>
    <w:basedOn w:val="Normal"/>
    <w:qFormat/>
    <w:pPr>
      <w:jc w:val="both"/>
    </w:pPr>
    <w:rPr>
      <w:szCs w:val="20"/>
    </w:rPr>
  </w:style>
  <w:style w:type="paragraph" w:styleId="BodyTextIndent">
    <w:name w:val="Body Text Indent"/>
    <w:basedOn w:val="Normal"/>
    <w:pPr>
      <w:shd w:val="clear" w:fill="FFFFFF"/>
      <w:ind w:hanging="0" w:start="115" w:end="0"/>
    </w:pPr>
    <w:rPr>
      <w:color w:val="000000"/>
      <w:spacing w:val="-8"/>
      <w:sz w:val="25"/>
      <w:szCs w:val="25"/>
    </w:rPr>
  </w:style>
  <w:style w:type="paragraph" w:styleId="Tekstblokowy">
    <w:name w:val="Tekst blokowy"/>
    <w:basedOn w:val="Normal"/>
    <w:qFormat/>
    <w:pPr>
      <w:shd w:val="clear" w:fill="FFFFFF"/>
      <w:ind w:hanging="360" w:start="1080" w:end="922"/>
      <w:jc w:val="both"/>
    </w:pPr>
    <w:rPr>
      <w:color w:val="000000"/>
      <w:sz w:val="26"/>
      <w:szCs w:val="25"/>
    </w:rPr>
  </w:style>
  <w:style w:type="paragraph" w:styleId="Tekstpodstawowywcity2">
    <w:name w:val="Tekst podstawowy wcięty 2"/>
    <w:basedOn w:val="Normal"/>
    <w:qFormat/>
    <w:pPr>
      <w:ind w:firstLine="708" w:start="0" w:end="0"/>
      <w:jc w:val="both"/>
    </w:pPr>
    <w:rPr>
      <w:szCs w:val="20"/>
    </w:rPr>
  </w:style>
  <w:style w:type="paragraph" w:styleId="Tekstpodstawowy3">
    <w:name w:val="Tekst podstawowy 3"/>
    <w:basedOn w:val="Normal"/>
    <w:qFormat/>
    <w:pPr>
      <w:shd w:val="clear" w:fill="FFFFFF"/>
      <w:tabs>
        <w:tab w:val="clear" w:pos="708"/>
        <w:tab w:val="left" w:pos="9000" w:leader="none"/>
      </w:tabs>
      <w:ind w:hanging="0" w:start="0" w:end="72"/>
      <w:jc w:val="both"/>
    </w:pPr>
    <w:rPr>
      <w:rFonts w:ascii="Arial" w:hAnsi="Arial" w:cs="Arial"/>
      <w:b/>
      <w:bCs/>
      <w:color w:val="000000"/>
      <w:spacing w:val="-2"/>
      <w:sz w:val="26"/>
      <w:szCs w:val="29"/>
    </w:rPr>
  </w:style>
  <w:style w:type="paragraph" w:styleId="Tekstpodstawowywcity3">
    <w:name w:val="Tekst podstawowy wcięty 3"/>
    <w:basedOn w:val="Normal"/>
    <w:qFormat/>
    <w:pPr>
      <w:ind w:firstLine="708" w:start="0" w:end="0"/>
      <w:jc w:val="both"/>
    </w:pPr>
    <w:rPr>
      <w:rFonts w:ascii="Arial" w:hAnsi="Arial" w:cs="Arial"/>
      <w:i/>
      <w:iCs/>
    </w:rPr>
  </w:style>
  <w:style w:type="paragraph" w:styleId="Akapitzlist">
    <w:name w:val="Akapit z listą"/>
    <w:basedOn w:val="Normal"/>
    <w:qFormat/>
    <w:pPr>
      <w:ind w:hanging="0" w:start="708" w:end="0"/>
    </w:pPr>
    <w:rPr/>
  </w:style>
  <w:style w:type="paragraph" w:styleId="Tekstpodstawowywcity1">
    <w:name w:val="Tekst podstawowy wcięty1"/>
    <w:basedOn w:val="Normal"/>
    <w:qFormat/>
    <w:pPr>
      <w:suppressAutoHyphens w:val="true"/>
      <w:ind w:hanging="0" w:start="480" w:end="0"/>
    </w:pPr>
    <w:rPr>
      <w:rFonts w:ascii="Arial" w:hAnsi="Arial" w:cs="Arial"/>
    </w:rPr>
  </w:style>
  <w:style w:type="paragraph" w:styleId="Footer">
    <w:name w:val="Footer"/>
    <w:basedOn w:val="Gwkaistopka"/>
    <w:pPr>
      <w:suppressLineNumbers/>
      <w:tabs>
        <w:tab w:val="clear" w:pos="4819"/>
        <w:tab w:val="clear" w:pos="9638"/>
        <w:tab w:val="center" w:pos="4294" w:leader="none"/>
        <w:tab w:val="right" w:pos="8589" w:leader="none"/>
      </w:tabs>
    </w:pPr>
    <w:rPr/>
  </w:style>
  <w:style w:type="paragraph" w:styleId="Zawartotabeli">
    <w:name w:val="Zawartość tabeli"/>
    <w:basedOn w:val="Normal"/>
    <w:qFormat/>
    <w:pPr>
      <w:widowControl w:val="false"/>
      <w:suppressLineNumbers/>
    </w:pPr>
    <w:rPr/>
  </w:style>
  <w:style w:type="paragraph" w:styleId="Nagwektabeli">
    <w:name w:val="Nagłówek tabeli"/>
    <w:basedOn w:val="Zawartotabeli"/>
    <w:qFormat/>
    <w:pPr>
      <w:suppressLineNumbers/>
      <w:jc w:val="center"/>
    </w:pPr>
    <w:rPr>
      <w:b/>
      <w:bCs/>
    </w:rPr>
  </w:style>
  <w:style w:type="paragraph" w:styleId="Gwkalewa">
    <w:name w:val="Główka lewa"/>
    <w:basedOn w:val="Header"/>
    <w:qFormat/>
    <w:pPr>
      <w:suppressLineNumbers/>
      <w:tabs>
        <w:tab w:val="clear" w:pos="4536"/>
        <w:tab w:val="clear" w:pos="9072"/>
        <w:tab w:val="center" w:pos="4479" w:leader="none"/>
        <w:tab w:val="right" w:pos="8958" w:leader="none"/>
      </w:tabs>
    </w:pPr>
    <w:rPr/>
  </w:style>
  <w:style w:type="paragraph" w:styleId="ListParagraph">
    <w:name w:val="List Paragraph"/>
    <w:basedOn w:val="Normal"/>
    <w:qFormat/>
    <w:pPr>
      <w:numPr>
        <w:ilvl w:val="0"/>
        <w:numId w:val="0"/>
      </w:numPr>
      <w:ind w:hanging="0" w:start="720" w:end="0"/>
    </w:pPr>
    <w:rPr/>
  </w:style>
  <w:style w:type="paragraph" w:styleId="Standard">
    <w:name w:val="Standard"/>
    <w:qFormat/>
    <w:pPr>
      <w:widowControl/>
      <w:suppressAutoHyphens w:val="true"/>
      <w:bidi w:val="0"/>
      <w:spacing w:lineRule="auto" w:line="240" w:before="0" w:after="0"/>
      <w:jc w:val="start"/>
      <w:textAlignment w:val="baseline"/>
    </w:pPr>
    <w:rPr>
      <w:rFonts w:ascii="Liberation Serif;Times New Roman" w:hAnsi="Liberation Serif;Times New Roman" w:eastAsia="NSimSun" w:cs="Arial"/>
      <w:color w:val="auto"/>
      <w:kern w:val="2"/>
      <w:sz w:val="24"/>
      <w:szCs w:val="24"/>
      <w:lang w:val="pl-PL" w:eastAsia="zh-CN" w:bidi="hi-IN"/>
    </w:rPr>
  </w:style>
  <w:style w:type="paragraph" w:styleId="Standard1">
    <w:name w:val="Standard1"/>
    <w:qFormat/>
    <w:pPr>
      <w:widowControl/>
      <w:suppressAutoHyphens w:val="true"/>
      <w:bidi w:val="0"/>
      <w:spacing w:lineRule="auto" w:line="240" w:before="0" w:after="0"/>
      <w:jc w:val="start"/>
      <w:textAlignment w:val="baseline"/>
    </w:pPr>
    <w:rPr>
      <w:rFonts w:ascii="Liberation Serif;Times New Roman" w:hAnsi="Liberation Serif;Times New Roman" w:eastAsia="NSimSun" w:cs="Arial"/>
      <w:color w:val="auto"/>
      <w:kern w:val="2"/>
      <w:sz w:val="24"/>
      <w:szCs w:val="24"/>
      <w:lang w:val="pl-PL" w:eastAsia="zh-CN" w:bidi="hi-IN"/>
    </w:rPr>
  </w:style>
  <w:style w:type="paragraph" w:styleId="Caption2">
    <w:name w:val="Caption2"/>
    <w:basedOn w:val="Normal"/>
    <w:qFormat/>
    <w:pPr>
      <w:spacing w:before="120" w:after="120"/>
    </w:pPr>
    <w:rPr>
      <w:rFonts w:cs="Arial"/>
      <w:i/>
      <w:iCs/>
      <w:color w:val="000000"/>
    </w:rPr>
  </w:style>
  <w:style w:type="numbering" w:styleId="WW8Num1">
    <w:name w:val="WW8Num1"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header" Target="header1.xml"/><Relationship Id="rId6" Type="http://schemas.openxmlformats.org/officeDocument/2006/relationships/header" Target="header2.xml"/><Relationship Id="rId7" Type="http://schemas.openxmlformats.org/officeDocument/2006/relationships/footer" Target="footer1.xml"/><Relationship Id="rId8" Type="http://schemas.openxmlformats.org/officeDocument/2006/relationships/footer" Target="footer2.xml"/><Relationship Id="rId9" Type="http://schemas.openxmlformats.org/officeDocument/2006/relationships/numbering" Target="numbering.xml"/><Relationship Id="rId10" Type="http://schemas.openxmlformats.org/officeDocument/2006/relationships/fontTable" Target="fontTable.xml"/><Relationship Id="rId11" Type="http://schemas.openxmlformats.org/officeDocument/2006/relationships/settings" Target="settings.xml"/><Relationship Id="rId12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hyperlink" Target="mailto:wokasz@wp.pl" TargetMode="Externa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 pitchFamily="0" charset="1"/>
        <a:ea typeface="DejaVu Sans" pitchFamily="0" charset="1"/>
        <a:cs typeface="DejaVu Sans" pitchFamily="0" charset="1"/>
      </a:majorFont>
      <a:minorFont>
        <a:latin typeface="Arial" pitchFamily="0" charset="1"/>
        <a:ea typeface="DejaVu Sans" pitchFamily="0" charset="1"/>
        <a:cs typeface="DejaVu Sans" pitchFamily="0" charset="1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Normal_x005F_x0000_</Template>
  <TotalTime>22095</TotalTime>
  <Application>LibreOffice/7.6.2.1$Windows_X86_64 LibreOffice_project/56f7684011345957bbf33a7ee678afaf4d2ba333</Application>
  <AppVersion>15.0000</AppVersion>
  <Pages>22</Pages>
  <Words>5705</Words>
  <Characters>37756</Characters>
  <CharactersWithSpaces>43324</CharactersWithSpaces>
  <Paragraphs>427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LUCAS</dc:creator>
  <dc:description/>
  <dc:language>pl-PL</dc:language>
  <cp:lastModifiedBy/>
  <cp:lastPrinted>2025-12-04T20:04:00Z</cp:lastPrinted>
  <dcterms:modified xsi:type="dcterms:W3CDTF">2026-03-18T14:45:59Z</dcterms:modified>
  <cp:revision>785</cp:revision>
  <dc:subject/>
  <dc:title>PROJEKT BUDOWLANY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